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bidi/>
        <w:spacing w:before="0" w:after="60"/>
        <w:jc w:val="center"/>
      </w:pP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◆  </w:t>
      </w:r>
      <w:r>
        <w:rPr>
          <w:rFonts w:ascii="Dubai" w:hAnsi="Dubai" w:cs="Dubai" w:eastAsia="Dubai"/>
          <w:b/>
          <w:color w:val="C00000"/>
          <w:sz w:val="26"/>
          <w:szCs w:val="26"/>
          <w:bCs/>
          <w:rtl/>
        </w:rPr>
        <w:t>دليل استخدام المنصة — فريق متابعة التقويم الداخلي</w:t>
      </w:r>
      <w:r>
        <w:rPr>
          <w:rFonts w:ascii="Dubai" w:hAnsi="Dubai" w:cs="Dubai" w:eastAsia="Dubai"/>
          <w:b w:val="0"/>
          <w:color w:val="C00000"/>
          <w:sz w:val="14"/>
          <w:szCs w:val="14"/>
          <w:rtl/>
        </w:rPr>
        <w:t xml:space="preserve">  ◆</w:t>
      </w:r>
    </w:p>
    <w:p>
      <w:pPr>
        <w:bidi/>
        <w:spacing w:before="0" w:after="120"/>
        <w:jc w:val="center"/>
      </w:pPr>
      <w:r>
        <w:rPr>
          <w:rFonts w:ascii="Dubai" w:hAnsi="Dubai" w:cs="Dubai" w:eastAsia="Dubai"/>
          <w:b/>
          <w:color w:val="355E91"/>
          <w:sz w:val="19"/>
          <w:szCs w:val="19"/>
          <w:bCs/>
          <w:rtl/>
        </w:rPr>
        <w:t>لمن: اثنان من الإدارة العامة يتابعان ولا يرصدان</w:t>
      </w:r>
    </w:p>
    <w:p>
      <w:pPr>
        <w:bidi/>
        <w:spacing w:before="40" w:after="120"/>
      </w:pP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 xml:space="preserve">دورُكما </w:t>
      </w:r>
      <w:r>
        <w:rPr>
          <w:rFonts w:ascii="Dubai" w:hAnsi="Dubai" w:cs="Dubai" w:eastAsia="Dubai"/>
          <w:b/>
          <w:color w:val="1A1A1A"/>
          <w:sz w:val="20"/>
          <w:szCs w:val="20"/>
          <w:bCs/>
          <w:rtl/>
        </w:rPr>
        <w:t>المتابعةُ لا الرصد</w:t>
      </w:r>
      <w:r>
        <w:rPr>
          <w:rFonts w:ascii="Dubai" w:hAnsi="Dubai" w:cs="Dubai" w:eastAsia="Dubai"/>
          <w:b w:val="0"/>
          <w:color w:val="1A1A1A"/>
          <w:sz w:val="20"/>
          <w:szCs w:val="20"/>
          <w:rtl/>
        </w:rPr>
        <w:t>: تطّلعان على الحصص التي لا مشرفَ لتخصصها وتتأكدان أن أحداً لم يُنسَ، وتكتبان تعليقَكما — ولا تُفتح لكما استمارة. وهذا مقصودٌ: من يتابع غيرُ من يُقدِّر.</w:t>
      </w:r>
    </w:p>
    <w:tbl>
      <w:tblPr>
        <w:bidiVisual/>
        <w:tblW w:w="5000" w:type="pct"/>
        <w:jc w:val="center"/>
        <w:tblBorders>
          <w:top w:val="single" w:sz="8" w:space="0" w:color="2F7F95"/>
          <w:left w:val="single" w:sz="8" w:space="0" w:color="2F7F95"/>
          <w:bottom w:val="single" w:sz="8" w:space="0" w:color="2F7F95"/>
          <w:right w:val="single" w:sz="8" w:space="0" w:color="2F7F95"/>
          <w:insideH w:val="single" w:sz="2" w:space="0" w:color="2F7F95"/>
          <w:insideV w:val="single" w:sz="2" w:space="0" w:color="2F7F95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2F7F95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قبل أن تبدأ — ثلاثٌ تخصّ الجميع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١.  افتح الرابط — https://ahseyam.github.io/unified-lesson/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٢.  اختر دورك — بطاقةٌ لكل دور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E2F0F3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٣.  اكتب رقمك الوظيفي — به تُعرف لا باسمك</w:t>
            </w:r>
          </w:p>
        </w:tc>
      </w:tr>
    </w:tbl>
    <w:p>
      <w:pPr>
        <w:bidi/>
        <w:spacing w:before="0" w:after="100"/>
      </w:pP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افتح الرابط: يعمل على الجوال والحاسب واللوح بلا تنزيلِ تطبيق. واحفظه في المفضّلة — فهو مرجعُك الوحيد، ولا تعتمد نسخةً مرسَلةً على ون درايف فتقدَم بك.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اختر دورك: ولكلِّ دورٍ ما يخصُّه فقط: أزرارُه وشاشاتُه وتقاريرُه. فلا ترى ما ليس لك، ولا تضغط زرّاً يضيع به عملُ غيرك.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7F7F7F"/>
          <w:sz w:val="18"/>
          <w:szCs w:val="18"/>
          <w:rtl/>
        </w:rPr>
        <w:t>اكتب رقمك الوظيفي: الأسماءُ تتشابه وتُكتب بصيغٍ شتّى فيظهر الشخصُ مرّتين في التقارير. فإن وُجد رقمُك في الكشف استُدعي اسمُك وتخصصُك تلقائياً.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خطوةً خطوة — بالصور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كلُّ لقطةٍ مأخوذةٌ من المنصة نفسِها، لا رسماً ولا تخيّلاً</w:t>
      </w:r>
    </w:p>
    <w:p>
      <w:pPr>
        <w:keepNext/>
        <w:bidi/>
        <w:spacing w:before="4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١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ادخلا بدوركما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اختارا بطاقة «فريق متابعة التقويم الداخلي» — وهي آخرُ البطاقات.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ولا يُطلب منكما تخصصٌ ولا مجمع: نطاقُكما المنظومةُ كلُّها.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3026308" cy="39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in_iq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026308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٢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اقرآ الجدول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ترَيان حصصَ المنظومة كلِّها: القطاعين والمجمعاتِ والمدارس.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ولا تُعدَّل خانةٌ — المتابعةُ قراءةٌ لا كتابة.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grid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٣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تابعا ما لا مشرفَ له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تقريرُ «حصصٌ بلا مشرفٍ مختص» هو عملُكما الأول: من يرصدها، وهل رُصدت.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فإن بقيت بلا راصدٍ نبّهتما الوكيلَ أو مديرَ المجمع.</w:t>
      </w: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6408000" cy="3749724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ga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408000" cy="374972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bidi/>
        <w:spacing w:before="120" w:after="40"/>
      </w:pPr>
      <w:r>
        <w:rPr>
          <w:rFonts w:ascii="Dubai" w:hAnsi="Dubai" w:cs="Dubai" w:eastAsia="Dubai"/>
          <w:b/>
          <w:color w:val="2F7F95"/>
          <w:sz w:val="26"/>
          <w:szCs w:val="26"/>
          <w:bCs/>
          <w:rtl/>
        </w:rPr>
        <w:t>٤</w:t>
      </w:r>
      <w:r>
        <w:rPr>
          <w:rFonts w:ascii="Dubai" w:hAnsi="Dubai" w:cs="Dubai" w:eastAsia="Dubai"/>
          <w:b/>
          <w:color w:val="355E91"/>
          <w:sz w:val="22"/>
          <w:szCs w:val="22"/>
          <w:bCs/>
          <w:rtl/>
        </w:rPr>
        <w:t xml:space="preserve">  اكتبا تعليقكما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في «بعد الحصة» بطاقةُ الاطّلاع والتعليق — تكتبان فيها ما تريان.</w:t>
      </w:r>
    </w:p>
    <w:p>
      <w:pPr>
        <w:bidi/>
        <w:spacing w:before="0" w:after="40"/>
        <w:ind w:right="220"/>
      </w:pPr>
      <w:r>
        <w:rPr>
          <w:rFonts w:ascii="Dubai" w:hAnsi="Dubai" w:cs="Dubai" w:eastAsia="Dubai"/>
          <w:b w:val="0"/>
          <w:color w:val="2F7F95"/>
          <w:sz w:val="16"/>
          <w:szCs w:val="16"/>
          <w:rtl/>
        </w:rPr>
        <w:t xml:space="preserve">•  </w:t>
      </w:r>
      <w:r>
        <w:rPr>
          <w:rFonts w:ascii="Dubai" w:hAnsi="Dubai" w:cs="Dubai" w:eastAsia="Dubai"/>
          <w:b w:val="0"/>
          <w:color w:val="1A1A1A"/>
          <w:sz w:val="19"/>
          <w:szCs w:val="19"/>
          <w:rtl/>
        </w:rPr>
        <w:t>ويُحفظ تعليقُكما باسمكما ويراه من يفتح الحصة.</w:t>
      </w:r>
    </w:p>
    <w:tbl>
      <w:tblPr>
        <w:bidiVisual/>
        <w:tblW w:w="5000" w:type="pct"/>
        <w:jc w:val="center"/>
        <w:tblBorders>
          <w:top w:val="single" w:sz="8" w:space="0" w:color="E6B8B8"/>
          <w:left w:val="single" w:sz="8" w:space="0" w:color="E6B8B8"/>
          <w:bottom w:val="single" w:sz="8" w:space="0" w:color="E6B8B8"/>
          <w:right w:val="single" w:sz="8" w:space="0" w:color="E6B8B8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rPr>
          <w:cantSplit/>
        </w:trPr>
        <w:tc>
          <w:tcPr>
            <w:tcW w:w="5000" w:type="pct"/>
            <w:shd w:val="clear" w:color="auto" w:fill="FDF3F3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C00000"/>
                <w:sz w:val="18"/>
                <w:szCs w:val="18"/>
                <w:bCs/>
                <w:rtl/>
              </w:rPr>
              <w:t>⛔  ولا تُفتح لكما الاستمارة — وهذا هو الصواب لا عطلٌ في المنصة.</w:t>
            </w:r>
          </w:p>
        </w:tc>
      </w:tr>
    </w:tbl>
    <w:p>
      <w:pPr>
        <w:bidi/>
        <w:spacing w:before="0" w:after="80"/>
      </w:pPr>
    </w:p>
    <w:p>
      <w:pPr>
        <w:bidi/>
        <w:spacing w:before="40" w:after="80"/>
        <w:jc w:val="center"/>
      </w:pPr>
      <w:r>
        <w:drawing>
          <wp:inline xmlns:a="http://schemas.openxmlformats.org/drawingml/2006/main" xmlns:pic="http://schemas.openxmlformats.org/drawingml/2006/picture">
            <wp:extent cx="5934077" cy="396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q_not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34077" cy="39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bidi/>
        <w:spacing w:before="0" w:after="120"/>
        <w:jc w:val="center"/>
      </w:pPr>
      <w:r>
        <w:rPr>
          <w:rFonts w:ascii="Dubai Light" w:hAnsi="Dubai Light" w:cs="Dubai Light" w:eastAsia="Dubai Light"/>
          <w:b w:val="0"/>
          <w:color w:val="7F7F7F"/>
          <w:sz w:val="15"/>
          <w:szCs w:val="15"/>
          <w:rtl/>
        </w:rPr>
        <w:t>لقطةٌ من المنصة نفسِها</w:t>
      </w: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ما يقع فيه الخطأُ عادةً</w:t>
      </w: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 xml:space="preserve">    قبل أن تسأل — أكثرُ ما يتكرّر</w:t>
      </w:r>
    </w:p>
    <w:tbl>
      <w:tblPr>
        <w:bidiVisual/>
        <w:tblW w:w="5000" w:type="pct"/>
        <w:jc w:val="center"/>
        <w:tblBorders>
          <w:top w:val="single" w:sz="12" w:space="0" w:color="355E91"/>
          <w:left w:val="single" w:sz="12" w:space="0" w:color="355E91"/>
          <w:bottom w:val="single" w:sz="12" w:space="0" w:color="355E91"/>
          <w:right w:val="single" w:sz="12" w:space="0" w:color="355E91"/>
          <w:insideH w:val="single" w:sz="4" w:space="0" w:color="C9D2DE"/>
          <w:insideV w:val="single" w:sz="4" w:space="0" w:color="C9D2DE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3628"/>
        <w:gridCol w:w="7142"/>
      </w:tblGrid>
      <w:tr>
        <w:trPr>
          <w:tblHeader/>
        </w:trPr>
        <w:tc>
          <w:tcPr>
            <w:tcW w:w="1684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ما يحدث</w:t>
            </w:r>
          </w:p>
        </w:tc>
        <w:tc>
          <w:tcPr>
            <w:tcW w:w="3315" w:type="pct"/>
            <w:shd w:val="clear" w:color="auto" w:fill="355E91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18"/>
                <w:szCs w:val="18"/>
                <w:bCs/>
                <w:rtl/>
              </w:rPr>
              <w:t>السبب وما تفعله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أين الاستمارة؟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لا تُفتح لكما بقرار الاجتماع: الرصدُ للمشرف المختص، أو للفريق المعاون فيما لا مشرفَ له. وأنتما تتابعان.</w:t>
            </w:r>
          </w:p>
        </w:tc>
      </w:tr>
      <w:tr>
        <w:trPr>
          <w:cantSplit/>
        </w:trPr>
        <w:tc>
          <w:tcPr>
            <w:tcW w:w="1684" w:type="pct"/>
            <w:shd w:val="clear" w:color="auto" w:fill="F6F8FB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/>
                <w:color w:val="355E91"/>
                <w:sz w:val="18"/>
                <w:szCs w:val="18"/>
                <w:bCs/>
                <w:rtl/>
              </w:rPr>
              <w:t>أرى حصصَ المنظومة كلِّها — أهذا صواب؟</w:t>
            </w:r>
          </w:p>
        </w:tc>
        <w:tc>
          <w:tcPr>
            <w:tcW w:w="3315" w:type="pct"/>
            <w:vAlign w:val="center"/>
          </w:tcPr>
          <w:p>
            <w:pPr>
              <w:bidi/>
              <w:spacing w:before="0" w:after="0" w:line="242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نعم: نطاقُكما المنظومةُ كلُّها، بخلاف مدير المجمع المقصورِ على مجمعه.</w:t>
            </w:r>
          </w:p>
        </w:tc>
      </w:tr>
    </w:tbl>
    <w:p>
      <w:pPr>
        <w:bidi/>
        <w:spacing w:before="0" w:after="120"/>
      </w:pPr>
    </w:p>
    <w:p>
      <w:pPr>
        <w:keepNext/>
        <w:pBdr>
          <w:bottom w:val="single" w:sz="8" w:space="1" w:color="2F7F95"/>
        </w:pBdr>
        <w:bidi/>
        <w:spacing w:before="140" w:after="40"/>
      </w:pPr>
      <w:r>
        <w:rPr>
          <w:rFonts w:ascii="Dubai" w:hAnsi="Dubai" w:cs="Dubai" w:eastAsia="Dubai"/>
          <w:b/>
          <w:color w:val="C00000"/>
          <w:sz w:val="22"/>
          <w:szCs w:val="22"/>
          <w:bCs/>
          <w:rtl/>
        </w:rPr>
        <w:t>❖  أسئلةٌ متكرّرة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هل تُحسب متابعتُنا في متوسط الحصة؟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لا — التعليقُ لا درجةَ له، فلا يدخل أي متوسط.</w:t>
      </w:r>
    </w:p>
    <w:p>
      <w:pPr>
        <w:bidi/>
        <w:spacing w:before="40" w:after="2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س: </w:t>
      </w:r>
      <w:r>
        <w:rPr>
          <w:rFonts w:ascii="Dubai" w:hAnsi="Dubai" w:cs="Dubai" w:eastAsia="Dubai"/>
          <w:b/>
          <w:color w:val="355E91"/>
          <w:sz w:val="18"/>
          <w:szCs w:val="18"/>
          <w:bCs/>
          <w:rtl/>
        </w:rPr>
        <w:t>كيف نعرف ما تأخّر؟</w:t>
      </w:r>
    </w:p>
    <w:p>
      <w:pPr>
        <w:bidi/>
        <w:spacing w:before="0" w:after="60"/>
        <w:ind w:right="260"/>
      </w:pPr>
      <w:r>
        <w:rPr>
          <w:rFonts w:ascii="Dubai" w:hAnsi="Dubai" w:cs="Dubai" w:eastAsia="Dubai"/>
          <w:b/>
          <w:color w:val="2F7F95"/>
          <w:sz w:val="18"/>
          <w:szCs w:val="18"/>
          <w:bCs/>
          <w:rtl/>
        </w:rPr>
        <w:t xml:space="preserve">ج: </w:t>
      </w:r>
      <w:r>
        <w:rPr>
          <w:rFonts w:ascii="Dubai" w:hAnsi="Dubai" w:cs="Dubai" w:eastAsia="Dubai"/>
          <w:b w:val="0"/>
          <w:color w:val="1A1A1A"/>
          <w:sz w:val="18"/>
          <w:szCs w:val="18"/>
          <w:rtl/>
        </w:rPr>
        <w:t>تقريرُ «الإدخالُ الناقص» يقيس الجدولَ على كشف المعلمين فيقول من لم يسجّل بعد.</w:t>
      </w:r>
    </w:p>
    <w:tbl>
      <w:tblPr>
        <w:bidiVisual/>
        <w:tblW w:w="5000" w:type="pct"/>
        <w:jc w:val="center"/>
        <w:tblBorders>
          <w:top w:val="single" w:sz="8" w:space="0" w:color="355E91"/>
          <w:left w:val="single" w:sz="8" w:space="0" w:color="355E91"/>
          <w:bottom w:val="single" w:sz="8" w:space="0" w:color="355E91"/>
          <w:right w:val="single" w:sz="8" w:space="0" w:color="355E91"/>
          <w:insideH w:val="single" w:sz="2" w:space="0" w:color="355E91"/>
          <w:insideV w:val="single" w:sz="2" w:space="0" w:color="355E91"/>
        </w:tblBorders>
        <w:tblLayout w:type="fixed"/>
        <w:tblCellMar>
          <w:top w:w="14" w:type="dxa"/>
          <w:left w:w="70" w:type="dxa"/>
          <w:bottom w:w="14" w:type="dxa"/>
          <w:right w:w="70" w:type="dxa"/>
        </w:tblCellMar>
        <w:tblLook w:firstColumn="1" w:firstRow="1" w:lastColumn="0" w:lastRow="0" w:noHBand="0" w:noVBand="1" w:val="04A0"/>
      </w:tblPr>
      <w:tblGrid>
        <w:gridCol w:w="10771"/>
      </w:tblGrid>
      <w:tr>
        <w:tc>
          <w:tcPr>
            <w:tcW w:w="5000" w:type="pct"/>
            <w:shd w:val="clear" w:color="auto" w:fill="355E91"/>
            <w:vAlign w:val="center"/>
          </w:tcPr>
          <w:p>
            <w:pPr>
              <w:bidi/>
              <w:spacing w:before="0" w:after="0" w:line="264" w:lineRule="exact"/>
            </w:pPr>
            <w:r/>
            <w:r>
              <w:rPr>
                <w:rFonts w:ascii="Dubai" w:hAnsi="Dubai" w:cs="Dubai" w:eastAsia="Dubai"/>
                <w:b/>
                <w:color w:val="FFFFFF"/>
                <w:sz w:val="20"/>
                <w:szCs w:val="20"/>
                <w:bCs/>
                <w:rtl/>
              </w:rPr>
              <w:t>بمن تتصل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إن لم يظهر لك ما يخصُّك، أو ظهر لك ما ليس لك — راجع إدارة التخطيط والاعتماد المدرسي.</w:t>
            </w:r>
          </w:p>
        </w:tc>
      </w:tr>
      <w:tr>
        <w:trPr>
          <w:cantSplit/>
        </w:trPr>
        <w:tc>
          <w:tcPr>
            <w:tcW w:w="5000" w:type="pct"/>
            <w:shd w:val="clear" w:color="auto" w:fill="F6F8FB"/>
            <w:vAlign w:val="center"/>
          </w:tcPr>
          <w:p>
            <w:pPr>
              <w:bidi/>
              <w:spacing w:before="0" w:after="0" w:line="248" w:lineRule="exact"/>
            </w:pPr>
            <w:r/>
            <w:r>
              <w:rPr>
                <w:rFonts w:ascii="Dubai" w:hAnsi="Dubai" w:cs="Dubai" w:eastAsia="Dubai"/>
                <w:b w:val="0"/>
                <w:color w:val="1A1A1A"/>
                <w:sz w:val="18"/>
                <w:szCs w:val="18"/>
                <w:rtl/>
              </w:rPr>
              <w:t>وإن لم تُفتح الصفحة أصلاً — تأكّد من الرابط أعلاه، ومن أنك متصلٌ بالشبكة.</w:t>
            </w:r>
          </w:p>
        </w:tc>
      </w:tr>
    </w:tbl>
    <w:p>
      <w:pPr>
        <w:bidi/>
        <w:spacing w:before="0" w:after="100"/>
      </w:pPr>
    </w:p>
    <w:p>
      <w:pPr>
        <w:bidi/>
        <w:spacing w:before="80" w:after="0"/>
        <w:jc w:val="center"/>
      </w:pPr>
      <w:r>
        <w:rPr>
          <w:rFonts w:ascii="Dubai" w:hAnsi="Dubai" w:cs="Dubai" w:eastAsia="Dubai"/>
          <w:b/>
          <w:color w:val="2F7F95"/>
          <w:sz w:val="19"/>
          <w:szCs w:val="19"/>
          <w:bCs/>
          <w:rtl w:val="0"/>
        </w:rPr>
        <w:t>https://ahseyam.github.io/unified-lesson/</w:t>
      </w:r>
    </w:p>
    <w:p>
      <w:pPr>
        <w:bidi/>
        <w:spacing w:before="0" w:after="0"/>
        <w:jc w:val="center"/>
      </w:pPr>
      <w:r>
        <w:rPr>
          <w:rFonts w:ascii="Dubai Light" w:hAnsi="Dubai Light" w:cs="Dubai Light" w:eastAsia="Dubai Light"/>
          <w:b w:val="0"/>
          <w:color w:val="7F7F7F"/>
          <w:sz w:val="16"/>
          <w:szCs w:val="16"/>
          <w:rtl/>
        </w:rPr>
        <w:t>إدارة التخطيط والاعتماد المدرسي  ·  أ. أحمد صيام</w:t>
      </w:r>
    </w:p>
    <w:sectPr w:rsidR="00FC693F" w:rsidRPr="0006063C" w:rsidSect="00034616">
      <w:headerReference w:type="default" r:id="rId9"/>
      <w:pgSz w:w="11906" w:h="16838"/>
      <w:pgMar w:top="1616" w:right="567" w:bottom="1531" w:left="567" w:header="113" w:footer="907" w:gutter="0"/>
      <w:cols w:space="720"/>
      <w:docGrid w:linePitch="360"/>
      <w:bidi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0"/>
    </w:pPr>
    <w:r/>
    <w:r>
      <w:drawing>
        <wp:anchor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901" name="klisha"/>
          <wp:cNvGraphicFramePr/>
          <a:graphic xmlns:a="http://schemas.openxmlformats.org/drawingml/2006/main" xmlns:pic="http://schemas.openxmlformats.org/drawingml/2006/picture">
            <a:graphicData uri="http://schemas.openxmlformats.org/drawingml/2006/picture">
              <pic:pic>
                <pic:nvPicPr>
                  <pic:cNvPr id="0" name="kl_portrait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  <w:p>
    <w:pPr>
      <w:framePr w:w="4450" w:h="556" w:hRule="exact" w:x="7228" w:y="578" w:hAnchor="page" w:vAnchor="page" w:wrap="notBeside"/>
      <w:bidi/>
      <w:spacing w:before="77" w:after="0" w:line="400" w:lineRule="exact"/>
      <w:jc w:val="center"/>
    </w:pPr>
    <w:r>
      <w:rPr>
        <w:rFonts w:ascii="Dubai" w:hAnsi="Dubai" w:cs="Dubai" w:eastAsia="Dubai"/>
        <w:b/>
        <w:color w:val="FFFFFF"/>
        <w:sz w:val="32"/>
        <w:szCs w:val="32"/>
        <w:bCs/>
        <w:rtl/>
      </w:rPr>
      <w:t>الحصة الموحَّدة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5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bidi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Dubai" w:hAnsi="Dubai" w:cs="Dubai" w:eastAsia="Dubai"/>
      <w:sz w:val="22"/>
      <w:szCs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