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center"/>
      </w:pPr>
      <w:r>
        <w:rPr>
          <w:rFonts w:ascii="Helvetica Neue" w:hAnsi="Helvetica Neue" w:cs="Helvetica Neue" w:eastAsia="Helvetica Neue"/>
          <w:b w:val="0"/>
          <w:color w:val="C00000"/>
          <w:sz w:val="14"/>
          <w:szCs w:val="14"/>
          <w:rtl w:val="0"/>
        </w:rPr>
        <w:t xml:space="preserve">◆  </w:t>
      </w:r>
      <w:r>
        <w:rPr>
          <w:rFonts w:ascii="Helvetica Neue" w:hAnsi="Helvetica Neue" w:cs="Helvetica Neue" w:eastAsia="Helvetica Neue"/>
          <w:b/>
          <w:color w:val="C00000"/>
          <w:sz w:val="26"/>
          <w:szCs w:val="26"/>
          <w:bCs/>
          <w:rtl w:val="0"/>
        </w:rPr>
        <w:t>Platform User Guide — Academic Deputy</w:t>
      </w:r>
      <w:r>
        <w:rPr>
          <w:rFonts w:ascii="Helvetica Neue" w:hAnsi="Helvetica Neue" w:cs="Helvetica Neue" w:eastAsia="Helvetica Neue"/>
          <w:b w:val="0"/>
          <w:color w:val="C00000"/>
          <w:sz w:val="14"/>
          <w:szCs w:val="14"/>
          <w:rtl w:val="0"/>
        </w:rPr>
        <w:t xml:space="preserve">  ◆</w:t>
      </w:r>
    </w:p>
    <w:p>
      <w:pPr>
        <w:spacing w:before="0" w:after="120"/>
        <w:jc w:val="center"/>
      </w:pPr>
      <w:r>
        <w:rPr>
          <w:rFonts w:ascii="Helvetica Neue" w:hAnsi="Helvetica Neue" w:cs="Helvetica Neue" w:eastAsia="Helvetica Neue"/>
          <w:b/>
          <w:color w:val="355E91"/>
          <w:sz w:val="19"/>
          <w:szCs w:val="19"/>
          <w:bCs/>
          <w:rtl w:val="0"/>
        </w:rPr>
        <w:t>For: the academic deputy — who alone assigns peer teachers</w:t>
      </w:r>
    </w:p>
    <w:p>
      <w:pPr>
        <w:spacing w:before="40" w:after="120"/>
      </w:pPr>
      <w:r>
        <w:rPr>
          <w:rFonts w:ascii="Helvetica Neue" w:hAnsi="Helvetica Neue" w:cs="Helvetica Neue" w:eastAsia="Helvetica Neue"/>
          <w:b w:val="0"/>
          <w:color w:val="1A1A1A"/>
          <w:sz w:val="20"/>
          <w:szCs w:val="20"/>
          <w:rtl w:val="0"/>
        </w:rPr>
        <w:t xml:space="preserve">You have everything the principal has, and one thing more: </w:t>
      </w:r>
      <w:r>
        <w:rPr>
          <w:rFonts w:ascii="Helvetica Neue" w:hAnsi="Helvetica Neue" w:cs="Helvetica Neue" w:eastAsia="Helvetica Neue"/>
          <w:b/>
          <w:color w:val="1A1A1A"/>
          <w:sz w:val="20"/>
          <w:szCs w:val="20"/>
          <w:bCs/>
          <w:rtl w:val="0"/>
        </w:rPr>
        <w:t>assigning peers</w:t>
      </w:r>
      <w:r>
        <w:rPr>
          <w:rFonts w:ascii="Helvetica Neue" w:hAnsi="Helvetica Neue" w:cs="Helvetica Neue" w:eastAsia="Helvetica Neue"/>
          <w:b w:val="0"/>
          <w:color w:val="1A1A1A"/>
          <w:sz w:val="20"/>
          <w:szCs w:val="20"/>
          <w:rtl w:val="0"/>
        </w:rPr>
        <w:t>. Until you assign a visit, it does not appear in the peer teacher's account, and the peer card is never filled at all.</w:t>
      </w:r>
    </w:p>
    <w:tbl>
      <w:tblPr>
        <w:bidiVisual/>
        <w:tblW w:w="5000" w:type="pct"/>
        <w:jc w:val="center"/>
        <w:tblBorders>
          <w:top w:val="single" w:sz="8" w:space="0" w:color="2F7F95"/>
          <w:left w:val="single" w:sz="8" w:space="0" w:color="2F7F95"/>
          <w:bottom w:val="single" w:sz="8" w:space="0" w:color="2F7F95"/>
          <w:right w:val="single" w:sz="8" w:space="0" w:color="2F7F95"/>
          <w:insideH w:val="single" w:sz="2" w:space="0" w:color="2F7F95"/>
          <w:insideV w:val="single" w:sz="2" w:space="0" w:color="2F7F95"/>
        </w:tblBorders>
        <w:tblLayout w:type="fixed"/>
        <w:tblCellMar>
          <w:top w:w="14" w:type="dxa"/>
          <w:left w:w="70" w:type="dxa"/>
          <w:bottom w:w="14" w:type="dxa"/>
          <w:right w:w="70" w:type="dxa"/>
        </w:tblCellMar>
        <w:tblLook w:firstColumn="1" w:firstRow="1" w:lastColumn="0" w:lastRow="0" w:noHBand="0" w:noVBand="1" w:val="04A0"/>
      </w:tblPr>
      <w:tblGrid>
        <w:gridCol w:w="10771"/>
      </w:tblGrid>
      <w:tr>
        <w:tc>
          <w:tcPr>
            <w:tcW w:w="5000" w:type="pct"/>
            <w:shd w:val="clear" w:color="auto" w:fill="2F7F95"/>
            <w:vAlign w:val="center"/>
          </w:tcPr>
          <w:p>
            <w:pPr>
              <w:spacing w:before="0" w:after="0" w:line="264" w:lineRule="exact"/>
            </w:pPr>
            <w:r/>
            <w:r>
              <w:rPr>
                <w:rFonts w:ascii="Helvetica Neue" w:hAnsi="Helvetica Neue" w:cs="Helvetica Neue" w:eastAsia="Helvetica Neue"/>
                <w:b/>
                <w:color w:val="FFFFFF"/>
                <w:sz w:val="20"/>
                <w:szCs w:val="20"/>
                <w:bCs/>
                <w:rtl w:val="0"/>
              </w:rPr>
              <w:t>Before you start — four things that concern everyone</w:t>
            </w:r>
          </w:p>
        </w:tc>
      </w:tr>
      <w:tr>
        <w:trPr>
          <w:cantSplit/>
        </w:trPr>
        <w:tc>
          <w:tcPr>
            <w:tcW w:w="5000" w:type="pct"/>
            <w:shd w:val="clear" w:color="auto" w:fill="E2F0F3"/>
            <w:vAlign w:val="center"/>
          </w:tcPr>
          <w:p>
            <w:pPr>
              <w:spacing w:before="0" w:after="0" w:line="248" w:lineRule="exact"/>
            </w:pPr>
            <w:r/>
            <w:r>
              <w:rPr>
                <w:rFonts w:ascii="Helvetica Neue" w:hAnsi="Helvetica Neue" w:cs="Helvetica Neue" w:eastAsia="Helvetica Neue"/>
                <w:b w:val="0"/>
                <w:color w:val="1A1A1A"/>
                <w:sz w:val="18"/>
                <w:szCs w:val="18"/>
                <w:rtl w:val="0"/>
              </w:rPr>
              <w:t>1.  Open the link — https://ahseyam.github.io/unified-lesson/</w:t>
            </w:r>
          </w:p>
        </w:tc>
      </w:tr>
      <w:tr>
        <w:trPr>
          <w:cantSplit/>
        </w:trPr>
        <w:tc>
          <w:tcPr>
            <w:tcW w:w="5000" w:type="pct"/>
            <w:shd w:val="clear" w:color="auto" w:fill="E2F0F3"/>
            <w:vAlign w:val="center"/>
          </w:tcPr>
          <w:p>
            <w:pPr>
              <w:spacing w:before="0" w:after="0" w:line="248" w:lineRule="exact"/>
            </w:pPr>
            <w:r/>
            <w:r>
              <w:rPr>
                <w:rFonts w:ascii="Helvetica Neue" w:hAnsi="Helvetica Neue" w:cs="Helvetica Neue" w:eastAsia="Helvetica Neue"/>
                <w:b w:val="0"/>
                <w:color w:val="1A1A1A"/>
                <w:sz w:val="18"/>
                <w:szCs w:val="18"/>
                <w:rtl w:val="0"/>
              </w:rPr>
              <w:t>2.  Switch to English — the EN button, top right</w:t>
            </w:r>
          </w:p>
        </w:tc>
      </w:tr>
      <w:tr>
        <w:trPr>
          <w:cantSplit/>
        </w:trPr>
        <w:tc>
          <w:tcPr>
            <w:tcW w:w="5000" w:type="pct"/>
            <w:shd w:val="clear" w:color="auto" w:fill="E2F0F3"/>
            <w:vAlign w:val="center"/>
          </w:tcPr>
          <w:p>
            <w:pPr>
              <w:spacing w:before="0" w:after="0" w:line="248" w:lineRule="exact"/>
            </w:pPr>
            <w:r/>
            <w:r>
              <w:rPr>
                <w:rFonts w:ascii="Helvetica Neue" w:hAnsi="Helvetica Neue" w:cs="Helvetica Neue" w:eastAsia="Helvetica Neue"/>
                <w:b w:val="0"/>
                <w:color w:val="1A1A1A"/>
                <w:sz w:val="18"/>
                <w:szCs w:val="18"/>
                <w:rtl w:val="0"/>
              </w:rPr>
              <w:t>3.  Choose your role — one card per role</w:t>
            </w:r>
          </w:p>
        </w:tc>
      </w:tr>
      <w:tr>
        <w:trPr>
          <w:cantSplit/>
        </w:trPr>
        <w:tc>
          <w:tcPr>
            <w:tcW w:w="5000" w:type="pct"/>
            <w:shd w:val="clear" w:color="auto" w:fill="E2F0F3"/>
            <w:vAlign w:val="center"/>
          </w:tcPr>
          <w:p>
            <w:pPr>
              <w:spacing w:before="0" w:after="0" w:line="248" w:lineRule="exact"/>
            </w:pPr>
            <w:r/>
            <w:r>
              <w:rPr>
                <w:rFonts w:ascii="Helvetica Neue" w:hAnsi="Helvetica Neue" w:cs="Helvetica Neue" w:eastAsia="Helvetica Neue"/>
                <w:b w:val="0"/>
                <w:color w:val="1A1A1A"/>
                <w:sz w:val="18"/>
                <w:szCs w:val="18"/>
                <w:rtl w:val="0"/>
              </w:rPr>
              <w:t>4.  Enter your staff number — you are identified by it, not by your name</w:t>
            </w:r>
          </w:p>
        </w:tc>
      </w:tr>
    </w:tbl>
    <w:p>
      <w:pPr>
        <w:spacing w:before="0" w:after="100"/>
      </w:pP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7F7F7F"/>
          <w:sz w:val="18"/>
          <w:szCs w:val="18"/>
          <w:rtl w:val="0"/>
        </w:rPr>
        <w:t>Open the link: It runs on phone, laptop and tablet with nothing to install. Bookmark it — it is your single reference; do not rely on a copy someone sends you, or you will be working from yesterday's data.</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7F7F7F"/>
          <w:sz w:val="18"/>
          <w:szCs w:val="18"/>
          <w:rtl w:val="0"/>
        </w:rPr>
        <w:t>Switch to English: Press it once and the choice is remembered on your device. Arabic is the default for everyone, so nothing changes for your Arabic-speaking colleagues. You may enter your own text in English or Arabic — both are kept as typed.</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7F7F7F"/>
          <w:sz w:val="18"/>
          <w:szCs w:val="18"/>
          <w:rtl w:val="0"/>
        </w:rPr>
        <w:t>Choose your role: Each role sees only what concerns it: its own buttons, screens and reports. You will not see what is not yours, and you cannot press a button that destroys someone else's work.</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7F7F7F"/>
          <w:sz w:val="18"/>
          <w:szCs w:val="18"/>
          <w:rtl w:val="0"/>
        </w:rPr>
        <w:t>Enter your staff number: Names repeat and are spelled in different ways, so the same person appears twice in the reports. If your number is on the roster, your name and subject are filled in for you.</w:t>
      </w:r>
    </w:p>
    <w:p>
      <w:pPr>
        <w:keepNext/>
        <w:pBdr>
          <w:bottom w:val="single" w:sz="8" w:space="1" w:color="2F7F95"/>
        </w:pBdr>
        <w:spacing w:before="140" w:after="40"/>
      </w:pPr>
      <w:r>
        <w:rPr>
          <w:rFonts w:ascii="Helvetica Neue" w:hAnsi="Helvetica Neue" w:cs="Helvetica Neue" w:eastAsia="Helvetica Neue"/>
          <w:b/>
          <w:color w:val="C00000"/>
          <w:sz w:val="22"/>
          <w:szCs w:val="22"/>
          <w:bCs/>
          <w:rtl w:val="0"/>
        </w:rPr>
        <w:t>❖  Step by step — with pictures</w:t>
      </w:r>
      <w:r>
        <w:rPr>
          <w:rFonts w:ascii="Helvetica Neue" w:hAnsi="Helvetica Neue" w:cs="Helvetica Neue" w:eastAsia="Helvetica Neue"/>
          <w:b w:val="0"/>
          <w:color w:val="7F7F7F"/>
          <w:sz w:val="16"/>
          <w:szCs w:val="16"/>
          <w:rtl w:val="0"/>
        </w:rPr>
        <w:t xml:space="preserve">    every screenshot is taken from the platform itself, not drawn or imagined</w:t>
      </w:r>
    </w:p>
    <w:p>
      <w:pPr>
        <w:keepNext/>
        <w:spacing w:before="40" w:after="40"/>
      </w:pPr>
      <w:r>
        <w:rPr>
          <w:rFonts w:ascii="Helvetica Neue" w:hAnsi="Helvetica Neue" w:cs="Helvetica Neue" w:eastAsia="Helvetica Neue"/>
          <w:b/>
          <w:color w:val="2F7F95"/>
          <w:sz w:val="26"/>
          <w:szCs w:val="26"/>
          <w:bCs/>
          <w:rtl w:val="0"/>
        </w:rPr>
        <w:t>1</w:t>
      </w:r>
      <w:r>
        <w:rPr>
          <w:rFonts w:ascii="Helvetica Neue" w:hAnsi="Helvetica Neue" w:cs="Helvetica Neue" w:eastAsia="Helvetica Neue"/>
          <w:b/>
          <w:color w:val="355E91"/>
          <w:sz w:val="22"/>
          <w:szCs w:val="22"/>
          <w:bCs/>
          <w:rtl w:val="0"/>
        </w:rPr>
        <w:t xml:space="preserve">  Sign in and choose your school</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Choose the “Academic deputy” card, then the sector, the complex and the school.</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It is fixed for you, exactly as it is for the principal.</w:t>
      </w:r>
    </w:p>
    <w:p>
      <w:pPr>
        <w:spacing w:before="40" w:after="80"/>
        <w:jc w:val="center"/>
      </w:pPr>
      <w:r>
        <w:drawing>
          <wp:inline xmlns:a="http://schemas.openxmlformats.org/drawingml/2006/main" xmlns:pic="http://schemas.openxmlformats.org/drawingml/2006/picture">
            <wp:extent cx="3026308" cy="3960000"/>
            <wp:docPr id="1" name="Picture 1"/>
            <wp:cNvGraphicFramePr>
              <a:graphicFrameLocks noChangeAspect="1"/>
            </wp:cNvGraphicFramePr>
            <a:graphic>
              <a:graphicData uri="http://schemas.openxmlformats.org/drawingml/2006/picture">
                <pic:pic>
                  <pic:nvPicPr>
                    <pic:cNvPr id="0" name="login_prin.png"/>
                    <pic:cNvPicPr/>
                  </pic:nvPicPr>
                  <pic:blipFill>
                    <a:blip r:embed="rId10"/>
                    <a:stretch>
                      <a:fillRect/>
                    </a:stretch>
                  </pic:blipFill>
                  <pic:spPr>
                    <a:xfrm>
                      <a:off x="0" y="0"/>
                      <a:ext cx="3026308" cy="3960000"/>
                    </a:xfrm>
                    <a:prstGeom prst="rect"/>
                  </pic:spPr>
                </pic:pic>
              </a:graphicData>
            </a:graphic>
          </wp:inline>
        </w:drawing>
      </w:r>
    </w:p>
    <w:p>
      <w:pPr>
        <w:spacing w:before="0" w:after="120"/>
        <w:jc w:val="center"/>
      </w:pPr>
      <w:r>
        <w:rPr>
          <w:rFonts w:ascii="Helvetica Neue" w:hAnsi="Helvetica Neue" w:cs="Helvetica Neue" w:eastAsia="Helvetica Neue"/>
          <w:b w:val="0"/>
          <w:color w:val="7F7F7F"/>
          <w:sz w:val="15"/>
          <w:szCs w:val="15"/>
          <w:rtl w:val="0"/>
        </w:rPr>
        <w:t>A live screenshot of the platform itself</w:t>
      </w:r>
    </w:p>
    <w:p>
      <w:pPr>
        <w:keepNext/>
        <w:spacing w:before="120" w:after="40"/>
      </w:pPr>
      <w:r>
        <w:rPr>
          <w:rFonts w:ascii="Helvetica Neue" w:hAnsi="Helvetica Neue" w:cs="Helvetica Neue" w:eastAsia="Helvetica Neue"/>
          <w:b/>
          <w:color w:val="2F7F95"/>
          <w:sz w:val="26"/>
          <w:szCs w:val="26"/>
          <w:bCs/>
          <w:rtl w:val="0"/>
        </w:rPr>
        <w:t>2</w:t>
      </w:r>
      <w:r>
        <w:rPr>
          <w:rFonts w:ascii="Helvetica Neue" w:hAnsi="Helvetica Neue" w:cs="Helvetica Neue" w:eastAsia="Helvetica Neue"/>
          <w:b/>
          <w:color w:val="355E91"/>
          <w:sz w:val="22"/>
          <w:szCs w:val="22"/>
          <w:bCs/>
          <w:rtl w:val="0"/>
        </w:rPr>
        <w:t xml:space="preserve">  Check the schedule is complete</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Before assigning: make sure the lessons carry their teachers' names in the cells.</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No assignment can be made on a cell with no teacher.</w:t>
      </w:r>
    </w:p>
    <w:p>
      <w:pPr>
        <w:spacing w:before="40" w:after="80"/>
        <w:jc w:val="center"/>
      </w:pPr>
      <w:r>
        <w:drawing>
          <wp:inline xmlns:a="http://schemas.openxmlformats.org/drawingml/2006/main" xmlns:pic="http://schemas.openxmlformats.org/drawingml/2006/picture">
            <wp:extent cx="5934077" cy="3960000"/>
            <wp:docPr id="2" name="Picture 2"/>
            <wp:cNvGraphicFramePr>
              <a:graphicFrameLocks noChangeAspect="1"/>
            </wp:cNvGraphicFramePr>
            <a:graphic>
              <a:graphicData uri="http://schemas.openxmlformats.org/drawingml/2006/picture">
                <pic:pic>
                  <pic:nvPicPr>
                    <pic:cNvPr id="0" name="w_school.png"/>
                    <pic:cNvPicPr/>
                  </pic:nvPicPr>
                  <pic:blipFill>
                    <a:blip r:embed="rId11"/>
                    <a:stretch>
                      <a:fillRect/>
                    </a:stretch>
                  </pic:blipFill>
                  <pic:spPr>
                    <a:xfrm>
                      <a:off x="0" y="0"/>
                      <a:ext cx="5934077" cy="3960000"/>
                    </a:xfrm>
                    <a:prstGeom prst="rect"/>
                  </pic:spPr>
                </pic:pic>
              </a:graphicData>
            </a:graphic>
          </wp:inline>
        </w:drawing>
      </w:r>
    </w:p>
    <w:p>
      <w:pPr>
        <w:spacing w:before="0" w:after="120"/>
        <w:jc w:val="center"/>
      </w:pPr>
      <w:r>
        <w:rPr>
          <w:rFonts w:ascii="Helvetica Neue" w:hAnsi="Helvetica Neue" w:cs="Helvetica Neue" w:eastAsia="Helvetica Neue"/>
          <w:b w:val="0"/>
          <w:color w:val="7F7F7F"/>
          <w:sz w:val="15"/>
          <w:szCs w:val="15"/>
          <w:rtl w:val="0"/>
        </w:rPr>
        <w:t>A live screenshot of the platform itself</w:t>
      </w:r>
    </w:p>
    <w:p>
      <w:pPr>
        <w:keepNext/>
        <w:spacing w:before="120" w:after="40"/>
      </w:pPr>
      <w:r>
        <w:rPr>
          <w:rFonts w:ascii="Helvetica Neue" w:hAnsi="Helvetica Neue" w:cs="Helvetica Neue" w:eastAsia="Helvetica Neue"/>
          <w:b/>
          <w:color w:val="2F7F95"/>
          <w:sz w:val="26"/>
          <w:szCs w:val="26"/>
          <w:bCs/>
          <w:rtl w:val="0"/>
        </w:rPr>
        <w:t>3</w:t>
      </w:r>
      <w:r>
        <w:rPr>
          <w:rFonts w:ascii="Helvetica Neue" w:hAnsi="Helvetica Neue" w:cs="Helvetica Neue" w:eastAsia="Helvetica Neue"/>
          <w:b/>
          <w:color w:val="355E91"/>
          <w:sz w:val="22"/>
          <w:szCs w:val="22"/>
          <w:bCs/>
          <w:rtl w:val="0"/>
        </w:rPr>
        <w:t xml:space="preserve">  See who has not entered before you assign</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Above the schedule a line reads: “N of the roster with no lesson yet” — with an “Open the roster” button.</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The list names them by name, staff number and subject, and prints or exports as CSV.</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Follow them up first: the schedule is not complete without them.</w:t>
      </w:r>
    </w:p>
    <w:tbl>
      <w:tblPr>
        <w:bidiVisual/>
        <w:tblW w:w="5000" w:type="pct"/>
        <w:jc w:val="center"/>
        <w:tblBorders>
          <w:top w:val="single" w:sz="8" w:space="0" w:color="E6B8B8"/>
          <w:left w:val="single" w:sz="8" w:space="0" w:color="E6B8B8"/>
          <w:bottom w:val="single" w:sz="8" w:space="0" w:color="E6B8B8"/>
          <w:right w:val="single" w:sz="8" w:space="0" w:color="E6B8B8"/>
          <w:insideH w:val="single" w:sz="4" w:space="0" w:color="C9D2DE"/>
          <w:insideV w:val="single" w:sz="4" w:space="0" w:color="C9D2DE"/>
        </w:tblBorders>
        <w:tblLayout w:type="fixed"/>
        <w:tblCellMar>
          <w:top w:w="14" w:type="dxa"/>
          <w:left w:w="70" w:type="dxa"/>
          <w:bottom w:w="14" w:type="dxa"/>
          <w:right w:w="70" w:type="dxa"/>
        </w:tblCellMar>
        <w:tblLook w:firstColumn="1" w:firstRow="1" w:lastColumn="0" w:lastRow="0" w:noHBand="0" w:noVBand="1" w:val="04A0"/>
      </w:tblPr>
      <w:tblGrid>
        <w:gridCol w:w="10771"/>
      </w:tblGrid>
      <w:tr>
        <w:trPr>
          <w:cantSplit/>
        </w:trPr>
        <w:tc>
          <w:tcPr>
            <w:tcW w:w="5000" w:type="pct"/>
            <w:shd w:val="clear" w:color="auto" w:fill="FDF3F3"/>
            <w:vAlign w:val="center"/>
          </w:tcPr>
          <w:p>
            <w:pPr>
              <w:spacing w:before="0" w:after="0" w:line="242" w:lineRule="exact"/>
            </w:pPr>
            <w:r/>
            <w:r>
              <w:rPr>
                <w:rFonts w:ascii="Helvetica Neue" w:hAnsi="Helvetica Neue" w:cs="Helvetica Neue" w:eastAsia="Helvetica Neue"/>
                <w:b/>
                <w:color w:val="C00000"/>
                <w:sz w:val="18"/>
                <w:szCs w:val="18"/>
                <w:bCs/>
                <w:rtl w:val="0"/>
              </w:rPr>
              <w:t>⛔  The report measures the schedule against the teacher roster, not against itself — so whoever has not entered is named.</w:t>
            </w:r>
          </w:p>
        </w:tc>
      </w:tr>
    </w:tbl>
    <w:p>
      <w:pPr>
        <w:spacing w:before="0" w:after="80"/>
      </w:pPr>
    </w:p>
    <w:p>
      <w:pPr>
        <w:spacing w:before="40" w:after="80"/>
        <w:jc w:val="center"/>
      </w:pPr>
      <w:r>
        <w:drawing>
          <wp:inline xmlns:a="http://schemas.openxmlformats.org/drawingml/2006/main" xmlns:pic="http://schemas.openxmlformats.org/drawingml/2006/picture">
            <wp:extent cx="5934077" cy="3960000"/>
            <wp:docPr id="3" name="Picture 3"/>
            <wp:cNvGraphicFramePr>
              <a:graphicFrameLocks noChangeAspect="1"/>
            </wp:cNvGraphicFramePr>
            <a:graphic>
              <a:graphicData uri="http://schemas.openxmlformats.org/drawingml/2006/picture">
                <pic:pic>
                  <pic:nvPicPr>
                    <pic:cNvPr id="0" name="w_pending.png"/>
                    <pic:cNvPicPr/>
                  </pic:nvPicPr>
                  <pic:blipFill>
                    <a:blip r:embed="rId12"/>
                    <a:stretch>
                      <a:fillRect/>
                    </a:stretch>
                  </pic:blipFill>
                  <pic:spPr>
                    <a:xfrm>
                      <a:off x="0" y="0"/>
                      <a:ext cx="5934077" cy="3960000"/>
                    </a:xfrm>
                    <a:prstGeom prst="rect"/>
                  </pic:spPr>
                </pic:pic>
              </a:graphicData>
            </a:graphic>
          </wp:inline>
        </w:drawing>
      </w:r>
    </w:p>
    <w:p>
      <w:pPr>
        <w:spacing w:before="0" w:after="120"/>
        <w:jc w:val="center"/>
      </w:pPr>
      <w:r>
        <w:rPr>
          <w:rFonts w:ascii="Helvetica Neue" w:hAnsi="Helvetica Neue" w:cs="Helvetica Neue" w:eastAsia="Helvetica Neue"/>
          <w:b w:val="0"/>
          <w:color w:val="7F7F7F"/>
          <w:sz w:val="15"/>
          <w:szCs w:val="15"/>
          <w:rtl w:val="0"/>
        </w:rPr>
        <w:t>A live screenshot of the platform itself</w:t>
      </w:r>
    </w:p>
    <w:p>
      <w:pPr>
        <w:keepNext/>
        <w:spacing w:before="120" w:after="40"/>
      </w:pPr>
      <w:r>
        <w:rPr>
          <w:rFonts w:ascii="Helvetica Neue" w:hAnsi="Helvetica Neue" w:cs="Helvetica Neue" w:eastAsia="Helvetica Neue"/>
          <w:b/>
          <w:color w:val="2F7F95"/>
          <w:sz w:val="26"/>
          <w:szCs w:val="26"/>
          <w:bCs/>
          <w:rtl w:val="0"/>
        </w:rPr>
        <w:t>4</w:t>
      </w:r>
      <w:r>
        <w:rPr>
          <w:rFonts w:ascii="Helvetica Neue" w:hAnsi="Helvetica Neue" w:cs="Helvetica Neue" w:eastAsia="Helvetica Neue"/>
          <w:b/>
          <w:color w:val="355E91"/>
          <w:sz w:val="22"/>
          <w:szCs w:val="22"/>
          <w:bCs/>
          <w:rtl w:val="0"/>
        </w:rPr>
        <w:t xml:space="preserve">  Assign peers by staff number</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Open “Assign peers”: the list of your school's lessons, each with two peer slots.</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Type the staff number and the name appears from the roster to confirm — then it saves itself.</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The “Not yet assigned” filter shows you what is still without a peer.</w:t>
      </w:r>
    </w:p>
    <w:tbl>
      <w:tblPr>
        <w:bidiVisual/>
        <w:tblW w:w="5000" w:type="pct"/>
        <w:jc w:val="center"/>
        <w:tblBorders>
          <w:top w:val="single" w:sz="8" w:space="0" w:color="E6B8B8"/>
          <w:left w:val="single" w:sz="8" w:space="0" w:color="E6B8B8"/>
          <w:bottom w:val="single" w:sz="8" w:space="0" w:color="E6B8B8"/>
          <w:right w:val="single" w:sz="8" w:space="0" w:color="E6B8B8"/>
          <w:insideH w:val="single" w:sz="4" w:space="0" w:color="C9D2DE"/>
          <w:insideV w:val="single" w:sz="4" w:space="0" w:color="C9D2DE"/>
        </w:tblBorders>
        <w:tblLayout w:type="fixed"/>
        <w:tblCellMar>
          <w:top w:w="14" w:type="dxa"/>
          <w:left w:w="70" w:type="dxa"/>
          <w:bottom w:w="14" w:type="dxa"/>
          <w:right w:w="70" w:type="dxa"/>
        </w:tblCellMar>
        <w:tblLook w:firstColumn="1" w:firstRow="1" w:lastColumn="0" w:lastRow="0" w:noHBand="0" w:noVBand="1" w:val="04A0"/>
      </w:tblPr>
      <w:tblGrid>
        <w:gridCol w:w="10771"/>
      </w:tblGrid>
      <w:tr>
        <w:trPr>
          <w:cantSplit/>
        </w:trPr>
        <w:tc>
          <w:tcPr>
            <w:tcW w:w="5000" w:type="pct"/>
            <w:shd w:val="clear" w:color="auto" w:fill="FDF3F3"/>
            <w:vAlign w:val="center"/>
          </w:tcPr>
          <w:p>
            <w:pPr>
              <w:spacing w:before="0" w:after="0" w:line="242" w:lineRule="exact"/>
            </w:pPr>
            <w:r/>
            <w:r>
              <w:rPr>
                <w:rFonts w:ascii="Helvetica Neue" w:hAnsi="Helvetica Neue" w:cs="Helvetica Neue" w:eastAsia="Helvetica Neue"/>
                <w:b/>
                <w:color w:val="C00000"/>
                <w:sz w:val="18"/>
                <w:szCs w:val="18"/>
                <w:bCs/>
                <w:rtl w:val="0"/>
              </w:rPr>
              <w:t>⛔  By number, not by name: names repeat, and a teacher would see someone else's visit.</w:t>
            </w:r>
          </w:p>
        </w:tc>
      </w:tr>
    </w:tbl>
    <w:p>
      <w:pPr>
        <w:spacing w:before="0" w:after="80"/>
      </w:pPr>
    </w:p>
    <w:p>
      <w:pPr>
        <w:spacing w:before="40" w:after="80"/>
        <w:jc w:val="center"/>
      </w:pPr>
      <w:r>
        <w:drawing>
          <wp:inline xmlns:a="http://schemas.openxmlformats.org/drawingml/2006/main" xmlns:pic="http://schemas.openxmlformats.org/drawingml/2006/picture">
            <wp:extent cx="5934077" cy="3960000"/>
            <wp:docPr id="4" name="Picture 4"/>
            <wp:cNvGraphicFramePr>
              <a:graphicFrameLocks noChangeAspect="1"/>
            </wp:cNvGraphicFramePr>
            <a:graphic>
              <a:graphicData uri="http://schemas.openxmlformats.org/drawingml/2006/picture">
                <pic:pic>
                  <pic:nvPicPr>
                    <pic:cNvPr id="0" name="w_assign.png"/>
                    <pic:cNvPicPr/>
                  </pic:nvPicPr>
                  <pic:blipFill>
                    <a:blip r:embed="rId13"/>
                    <a:stretch>
                      <a:fillRect/>
                    </a:stretch>
                  </pic:blipFill>
                  <pic:spPr>
                    <a:xfrm>
                      <a:off x="0" y="0"/>
                      <a:ext cx="5934077" cy="3960000"/>
                    </a:xfrm>
                    <a:prstGeom prst="rect"/>
                  </pic:spPr>
                </pic:pic>
              </a:graphicData>
            </a:graphic>
          </wp:inline>
        </w:drawing>
      </w:r>
    </w:p>
    <w:p>
      <w:pPr>
        <w:spacing w:before="0" w:after="120"/>
        <w:jc w:val="center"/>
      </w:pPr>
      <w:r>
        <w:rPr>
          <w:rFonts w:ascii="Helvetica Neue" w:hAnsi="Helvetica Neue" w:cs="Helvetica Neue" w:eastAsia="Helvetica Neue"/>
          <w:b w:val="0"/>
          <w:color w:val="7F7F7F"/>
          <w:sz w:val="15"/>
          <w:szCs w:val="15"/>
          <w:rtl w:val="0"/>
        </w:rPr>
        <w:t>A live screenshot of the platform itself</w:t>
      </w:r>
    </w:p>
    <w:p>
      <w:pPr>
        <w:keepNext/>
        <w:spacing w:before="120" w:after="40"/>
      </w:pPr>
      <w:r>
        <w:rPr>
          <w:rFonts w:ascii="Helvetica Neue" w:hAnsi="Helvetica Neue" w:cs="Helvetica Neue" w:eastAsia="Helvetica Neue"/>
          <w:b/>
          <w:color w:val="2F7F95"/>
          <w:sz w:val="26"/>
          <w:szCs w:val="26"/>
          <w:bCs/>
          <w:rtl w:val="0"/>
        </w:rPr>
        <w:t>5</w:t>
      </w:r>
      <w:r>
        <w:rPr>
          <w:rFonts w:ascii="Helvetica Neue" w:hAnsi="Helvetica Neue" w:cs="Helvetica Neue" w:eastAsia="Helvetica Neue"/>
          <w:b/>
          <w:color w:val="355E91"/>
          <w:sz w:val="22"/>
          <w:szCs w:val="22"/>
          <w:bCs/>
          <w:rtl w:val="0"/>
        </w:rPr>
        <w:t xml:space="preserve">  Observe what concerns you</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Your capacity on the card, “Academic deputy”, is filled from your role automatically.</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Observing and approving work exactly as they do for the principal.</w:t>
      </w:r>
    </w:p>
    <w:p>
      <w:pPr>
        <w:spacing w:before="40" w:after="80"/>
        <w:jc w:val="center"/>
      </w:pPr>
      <w:r>
        <w:drawing>
          <wp:inline xmlns:a="http://schemas.openxmlformats.org/drawingml/2006/main" xmlns:pic="http://schemas.openxmlformats.org/drawingml/2006/picture">
            <wp:extent cx="5934077" cy="3960000"/>
            <wp:docPr id="5" name="Picture 5"/>
            <wp:cNvGraphicFramePr>
              <a:graphicFrameLocks noChangeAspect="1"/>
            </wp:cNvGraphicFramePr>
            <a:graphic>
              <a:graphicData uri="http://schemas.openxmlformats.org/drawingml/2006/picture">
                <pic:pic>
                  <pic:nvPicPr>
                    <pic:cNvPr id="0" name="w_obs.png"/>
                    <pic:cNvPicPr/>
                  </pic:nvPicPr>
                  <pic:blipFill>
                    <a:blip r:embed="rId14"/>
                    <a:stretch>
                      <a:fillRect/>
                    </a:stretch>
                  </pic:blipFill>
                  <pic:spPr>
                    <a:xfrm>
                      <a:off x="0" y="0"/>
                      <a:ext cx="5934077" cy="3960000"/>
                    </a:xfrm>
                    <a:prstGeom prst="rect"/>
                  </pic:spPr>
                </pic:pic>
              </a:graphicData>
            </a:graphic>
          </wp:inline>
        </w:drawing>
      </w:r>
    </w:p>
    <w:p>
      <w:pPr>
        <w:spacing w:before="0" w:after="120"/>
        <w:jc w:val="center"/>
      </w:pPr>
      <w:r>
        <w:rPr>
          <w:rFonts w:ascii="Helvetica Neue" w:hAnsi="Helvetica Neue" w:cs="Helvetica Neue" w:eastAsia="Helvetica Neue"/>
          <w:b w:val="0"/>
          <w:color w:val="7F7F7F"/>
          <w:sz w:val="15"/>
          <w:szCs w:val="15"/>
          <w:rtl w:val="0"/>
        </w:rPr>
        <w:t>A live screenshot of the platform itself</w:t>
      </w:r>
    </w:p>
    <w:p>
      <w:pPr>
        <w:keepNext/>
        <w:pBdr>
          <w:bottom w:val="single" w:sz="8" w:space="1" w:color="2F7F95"/>
        </w:pBdr>
        <w:spacing w:before="140" w:after="40"/>
      </w:pPr>
      <w:r>
        <w:rPr>
          <w:rFonts w:ascii="Helvetica Neue" w:hAnsi="Helvetica Neue" w:cs="Helvetica Neue" w:eastAsia="Helvetica Neue"/>
          <w:b/>
          <w:color w:val="C00000"/>
          <w:sz w:val="22"/>
          <w:szCs w:val="22"/>
          <w:bCs/>
          <w:rtl w:val="0"/>
        </w:rPr>
        <w:t>❖  Where things usually go wrong</w:t>
      </w:r>
      <w:r>
        <w:rPr>
          <w:rFonts w:ascii="Helvetica Neue" w:hAnsi="Helvetica Neue" w:cs="Helvetica Neue" w:eastAsia="Helvetica Neue"/>
          <w:b w:val="0"/>
          <w:color w:val="7F7F7F"/>
          <w:sz w:val="16"/>
          <w:szCs w:val="16"/>
          <w:rtl w:val="0"/>
        </w:rPr>
        <w:t xml:space="preserve">    before you ask — the most common cases</w:t>
      </w:r>
    </w:p>
    <w:tbl>
      <w:tblPr>
        <w:bidiVisual/>
        <w:tblW w:w="5000" w:type="pct"/>
        <w:jc w:val="center"/>
        <w:tblBorders>
          <w:top w:val="single" w:sz="12" w:space="0" w:color="355E91"/>
          <w:left w:val="single" w:sz="12" w:space="0" w:color="355E91"/>
          <w:bottom w:val="single" w:sz="12" w:space="0" w:color="355E91"/>
          <w:right w:val="single" w:sz="12" w:space="0" w:color="355E91"/>
          <w:insideH w:val="single" w:sz="4" w:space="0" w:color="C9D2DE"/>
          <w:insideV w:val="single" w:sz="4" w:space="0" w:color="C9D2DE"/>
        </w:tblBorders>
        <w:tblLayout w:type="fixed"/>
        <w:tblCellMar>
          <w:top w:w="14" w:type="dxa"/>
          <w:left w:w="70" w:type="dxa"/>
          <w:bottom w:w="14" w:type="dxa"/>
          <w:right w:w="70" w:type="dxa"/>
        </w:tblCellMar>
        <w:tblLook w:firstColumn="1" w:firstRow="1" w:lastColumn="0" w:lastRow="0" w:noHBand="0" w:noVBand="1" w:val="04A0"/>
      </w:tblPr>
      <w:tblGrid>
        <w:gridCol w:w="3628"/>
        <w:gridCol w:w="7142"/>
      </w:tblGrid>
      <w:tr>
        <w:trPr>
          <w:tblHeader/>
        </w:trPr>
        <w:tc>
          <w:tcPr>
            <w:tcW w:w="1684" w:type="pct"/>
            <w:shd w:val="clear" w:color="auto" w:fill="355E91"/>
            <w:vAlign w:val="center"/>
          </w:tcPr>
          <w:p>
            <w:pPr>
              <w:spacing w:before="0" w:after="0" w:line="248" w:lineRule="exact"/>
            </w:pPr>
            <w:r/>
            <w:r>
              <w:rPr>
                <w:rFonts w:ascii="Helvetica Neue" w:hAnsi="Helvetica Neue" w:cs="Helvetica Neue" w:eastAsia="Helvetica Neue"/>
                <w:b/>
                <w:color w:val="FFFFFF"/>
                <w:sz w:val="18"/>
                <w:szCs w:val="18"/>
                <w:bCs/>
                <w:rtl w:val="0"/>
              </w:rPr>
              <w:t>What happens</w:t>
            </w:r>
          </w:p>
        </w:tc>
        <w:tc>
          <w:tcPr>
            <w:tcW w:w="3315" w:type="pct"/>
            <w:shd w:val="clear" w:color="auto" w:fill="355E91"/>
            <w:vAlign w:val="center"/>
          </w:tcPr>
          <w:p>
            <w:pPr>
              <w:spacing w:before="0" w:after="0" w:line="248" w:lineRule="exact"/>
            </w:pPr>
            <w:r/>
            <w:r>
              <w:rPr>
                <w:rFonts w:ascii="Helvetica Neue" w:hAnsi="Helvetica Neue" w:cs="Helvetica Neue" w:eastAsia="Helvetica Neue"/>
                <w:b/>
                <w:color w:val="FFFFFF"/>
                <w:sz w:val="18"/>
                <w:szCs w:val="18"/>
                <w:bCs/>
                <w:rtl w:val="0"/>
              </w:rPr>
              <w:t>Why, and what to do</w:t>
            </w:r>
          </w:p>
        </w:tc>
      </w:tr>
      <w:tr>
        <w:trPr>
          <w:cantSplit/>
        </w:trPr>
        <w:tc>
          <w:tcPr>
            <w:tcW w:w="1684" w:type="pct"/>
            <w:shd w:val="clear" w:color="auto" w:fill="F6F8FB"/>
            <w:vAlign w:val="center"/>
          </w:tcPr>
          <w:p>
            <w:pPr>
              <w:spacing w:before="0" w:after="0" w:line="242" w:lineRule="exact"/>
            </w:pPr>
            <w:r/>
            <w:r>
              <w:rPr>
                <w:rFonts w:ascii="Helvetica Neue" w:hAnsi="Helvetica Neue" w:cs="Helvetica Neue" w:eastAsia="Helvetica Neue"/>
                <w:b/>
                <w:color w:val="355E91"/>
                <w:sz w:val="18"/>
                <w:szCs w:val="18"/>
                <w:bCs/>
                <w:rtl w:val="0"/>
              </w:rPr>
              <w:t>I assigned it and it did not appear for the teacher</w:t>
            </w:r>
          </w:p>
        </w:tc>
        <w:tc>
          <w:tcPr>
            <w:tcW w:w="3315" w:type="pct"/>
            <w:vAlign w:val="center"/>
          </w:tcPr>
          <w:p>
            <w:pPr>
              <w:spacing w:before="0" w:after="0" w:line="242" w:lineRule="exact"/>
            </w:pPr>
            <w:r/>
            <w:r>
              <w:rPr>
                <w:rFonts w:ascii="Helvetica Neue" w:hAnsi="Helvetica Neue" w:cs="Helvetica Neue" w:eastAsia="Helvetica Neue"/>
                <w:b w:val="0"/>
                <w:color w:val="1A1A1A"/>
                <w:sz w:val="18"/>
                <w:szCs w:val="18"/>
                <w:rtl w:val="0"/>
              </w:rPr>
              <w:t>Check they signed in with their own staff number — matching is on the number, not the name.</w:t>
            </w:r>
          </w:p>
        </w:tc>
      </w:tr>
      <w:tr>
        <w:trPr>
          <w:cantSplit/>
        </w:trPr>
        <w:tc>
          <w:tcPr>
            <w:tcW w:w="1684" w:type="pct"/>
            <w:shd w:val="clear" w:color="auto" w:fill="F6F8FB"/>
            <w:vAlign w:val="center"/>
          </w:tcPr>
          <w:p>
            <w:pPr>
              <w:spacing w:before="0" w:after="0" w:line="242" w:lineRule="exact"/>
            </w:pPr>
            <w:r/>
            <w:r>
              <w:rPr>
                <w:rFonts w:ascii="Helvetica Neue" w:hAnsi="Helvetica Neue" w:cs="Helvetica Neue" w:eastAsia="Helvetica Neue"/>
                <w:b/>
                <w:color w:val="355E91"/>
                <w:sz w:val="18"/>
                <w:szCs w:val="18"/>
                <w:bCs/>
                <w:rtl w:val="0"/>
              </w:rPr>
              <w:t>The number is not on the roster</w:t>
            </w:r>
          </w:p>
        </w:tc>
        <w:tc>
          <w:tcPr>
            <w:tcW w:w="3315" w:type="pct"/>
            <w:vAlign w:val="center"/>
          </w:tcPr>
          <w:p>
            <w:pPr>
              <w:spacing w:before="0" w:after="0" w:line="242" w:lineRule="exact"/>
            </w:pPr>
            <w:r/>
            <w:r>
              <w:rPr>
                <w:rFonts w:ascii="Helvetica Neue" w:hAnsi="Helvetica Neue" w:cs="Helvetica Neue" w:eastAsia="Helvetica Neue"/>
                <w:b w:val="0"/>
                <w:color w:val="1A1A1A"/>
                <w:sz w:val="18"/>
                <w:szCs w:val="18"/>
                <w:rtl w:val="0"/>
              </w:rPr>
              <w:t>The number is accepted and saved, but with no name to confirm it. Ask the Planning and Accreditation Department to update the roster.</w:t>
            </w:r>
          </w:p>
        </w:tc>
      </w:tr>
    </w:tbl>
    <w:p>
      <w:pPr>
        <w:spacing w:before="0" w:after="120"/>
      </w:pPr>
    </w:p>
    <w:p>
      <w:pPr>
        <w:keepNext/>
        <w:pBdr>
          <w:bottom w:val="single" w:sz="8" w:space="1" w:color="2F7F95"/>
        </w:pBdr>
        <w:spacing w:before="140" w:after="40"/>
      </w:pPr>
      <w:r>
        <w:rPr>
          <w:rFonts w:ascii="Helvetica Neue" w:hAnsi="Helvetica Neue" w:cs="Helvetica Neue" w:eastAsia="Helvetica Neue"/>
          <w:b/>
          <w:color w:val="C00000"/>
          <w:sz w:val="22"/>
          <w:szCs w:val="22"/>
          <w:bCs/>
          <w:rtl w:val="0"/>
        </w:rPr>
        <w:t>❖  Frequently asked</w:t>
      </w:r>
    </w:p>
    <w:p>
      <w:pPr>
        <w:spacing w:before="40" w:after="20"/>
      </w:pPr>
      <w:r>
        <w:rPr>
          <w:rFonts w:ascii="Helvetica Neue" w:hAnsi="Helvetica Neue" w:cs="Helvetica Neue" w:eastAsia="Helvetica Neue"/>
          <w:b/>
          <w:color w:val="2F7F95"/>
          <w:sz w:val="18"/>
          <w:szCs w:val="18"/>
          <w:bCs/>
          <w:rtl w:val="0"/>
        </w:rPr>
        <w:t xml:space="preserve">Q: </w:t>
      </w:r>
      <w:r>
        <w:rPr>
          <w:rFonts w:ascii="Helvetica Neue" w:hAnsi="Helvetica Neue" w:cs="Helvetica Neue" w:eastAsia="Helvetica Neue"/>
          <w:b/>
          <w:color w:val="355E91"/>
          <w:sz w:val="18"/>
          <w:szCs w:val="18"/>
          <w:bCs/>
          <w:rtl w:val="0"/>
        </w:rPr>
        <w:t>How many peers per lesson?</w:t>
      </w:r>
    </w:p>
    <w:p>
      <w:pPr>
        <w:spacing w:before="0" w:after="60"/>
        <w:ind w:right="260"/>
      </w:pPr>
      <w:r>
        <w:rPr>
          <w:rFonts w:ascii="Helvetica Neue" w:hAnsi="Helvetica Neue" w:cs="Helvetica Neue" w:eastAsia="Helvetica Neue"/>
          <w:b/>
          <w:color w:val="2F7F95"/>
          <w:sz w:val="18"/>
          <w:szCs w:val="18"/>
          <w:bCs/>
          <w:rtl w:val="0"/>
        </w:rPr>
        <w:t xml:space="preserve">A: </w:t>
      </w:r>
      <w:r>
        <w:rPr>
          <w:rFonts w:ascii="Helvetica Neue" w:hAnsi="Helvetica Neue" w:cs="Helvetica Neue" w:eastAsia="Helvetica Neue"/>
          <w:b w:val="0"/>
          <w:color w:val="1A1A1A"/>
          <w:sz w:val="18"/>
          <w:szCs w:val="18"/>
          <w:rtl w:val="0"/>
        </w:rPr>
        <w:t>Two — two slots per lesson.</w:t>
      </w:r>
    </w:p>
    <w:p>
      <w:pPr>
        <w:spacing w:before="40" w:after="20"/>
      </w:pPr>
      <w:r>
        <w:rPr>
          <w:rFonts w:ascii="Helvetica Neue" w:hAnsi="Helvetica Neue" w:cs="Helvetica Neue" w:eastAsia="Helvetica Neue"/>
          <w:b/>
          <w:color w:val="2F7F95"/>
          <w:sz w:val="18"/>
          <w:szCs w:val="18"/>
          <w:bCs/>
          <w:rtl w:val="0"/>
        </w:rPr>
        <w:t xml:space="preserve">Q: </w:t>
      </w:r>
      <w:r>
        <w:rPr>
          <w:rFonts w:ascii="Helvetica Neue" w:hAnsi="Helvetica Neue" w:cs="Helvetica Neue" w:eastAsia="Helvetica Neue"/>
          <w:b/>
          <w:color w:val="355E91"/>
          <w:sz w:val="18"/>
          <w:szCs w:val="18"/>
          <w:bCs/>
          <w:rtl w:val="0"/>
        </w:rPr>
        <w:t>Does the principal assign as well?</w:t>
      </w:r>
    </w:p>
    <w:p>
      <w:pPr>
        <w:spacing w:before="0" w:after="60"/>
        <w:ind w:right="260"/>
      </w:pPr>
      <w:r>
        <w:rPr>
          <w:rFonts w:ascii="Helvetica Neue" w:hAnsi="Helvetica Neue" w:cs="Helvetica Neue" w:eastAsia="Helvetica Neue"/>
          <w:b/>
          <w:color w:val="2F7F95"/>
          <w:sz w:val="18"/>
          <w:szCs w:val="18"/>
          <w:bCs/>
          <w:rtl w:val="0"/>
        </w:rPr>
        <w:t xml:space="preserve">A: </w:t>
      </w:r>
      <w:r>
        <w:rPr>
          <w:rFonts w:ascii="Helvetica Neue" w:hAnsi="Helvetica Neue" w:cs="Helvetica Neue" w:eastAsia="Helvetica Neue"/>
          <w:b w:val="0"/>
          <w:color w:val="1A1A1A"/>
          <w:sz w:val="18"/>
          <w:szCs w:val="18"/>
          <w:rtl w:val="0"/>
        </w:rPr>
        <w:t>No. Assignment was given to you alone so a teacher is not assigned twice from two directions.</w:t>
      </w:r>
    </w:p>
    <w:tbl>
      <w:tblPr>
        <w:bidiVisual/>
        <w:tblW w:w="5000" w:type="pct"/>
        <w:jc w:val="center"/>
        <w:tblBorders>
          <w:top w:val="single" w:sz="8" w:space="0" w:color="355E91"/>
          <w:left w:val="single" w:sz="8" w:space="0" w:color="355E91"/>
          <w:bottom w:val="single" w:sz="8" w:space="0" w:color="355E91"/>
          <w:right w:val="single" w:sz="8" w:space="0" w:color="355E91"/>
          <w:insideH w:val="single" w:sz="2" w:space="0" w:color="355E91"/>
          <w:insideV w:val="single" w:sz="2" w:space="0" w:color="355E91"/>
        </w:tblBorders>
        <w:tblLayout w:type="fixed"/>
        <w:tblCellMar>
          <w:top w:w="14" w:type="dxa"/>
          <w:left w:w="70" w:type="dxa"/>
          <w:bottom w:w="14" w:type="dxa"/>
          <w:right w:w="70" w:type="dxa"/>
        </w:tblCellMar>
        <w:tblLook w:firstColumn="1" w:firstRow="1" w:lastColumn="0" w:lastRow="0" w:noHBand="0" w:noVBand="1" w:val="04A0"/>
      </w:tblPr>
      <w:tblGrid>
        <w:gridCol w:w="10771"/>
      </w:tblGrid>
      <w:tr>
        <w:tc>
          <w:tcPr>
            <w:tcW w:w="5000" w:type="pct"/>
            <w:shd w:val="clear" w:color="auto" w:fill="355E91"/>
            <w:vAlign w:val="center"/>
          </w:tcPr>
          <w:p>
            <w:pPr>
              <w:spacing w:before="0" w:after="0" w:line="264" w:lineRule="exact"/>
            </w:pPr>
            <w:r/>
            <w:r>
              <w:rPr>
                <w:rFonts w:ascii="Helvetica Neue" w:hAnsi="Helvetica Neue" w:cs="Helvetica Neue" w:eastAsia="Helvetica Neue"/>
                <w:b/>
                <w:color w:val="FFFFFF"/>
                <w:sz w:val="20"/>
                <w:szCs w:val="20"/>
                <w:bCs/>
                <w:rtl w:val="0"/>
              </w:rPr>
              <w:t>Who to contact</w:t>
            </w:r>
          </w:p>
        </w:tc>
      </w:tr>
      <w:tr>
        <w:trPr>
          <w:cantSplit/>
        </w:trPr>
        <w:tc>
          <w:tcPr>
            <w:tcW w:w="5000" w:type="pct"/>
            <w:shd w:val="clear" w:color="auto" w:fill="F6F8FB"/>
            <w:vAlign w:val="center"/>
          </w:tcPr>
          <w:p>
            <w:pPr>
              <w:spacing w:before="0" w:after="0" w:line="248" w:lineRule="exact"/>
            </w:pPr>
            <w:r/>
            <w:r>
              <w:rPr>
                <w:rFonts w:ascii="Helvetica Neue" w:hAnsi="Helvetica Neue" w:cs="Helvetica Neue" w:eastAsia="Helvetica Neue"/>
                <w:b w:val="0"/>
                <w:color w:val="1A1A1A"/>
                <w:sz w:val="18"/>
                <w:szCs w:val="18"/>
                <w:rtl w:val="0"/>
              </w:rPr>
              <w:t>If what concerns you does not appear, or something that is not yours does — contact the Planning and School Accreditation Department.</w:t>
            </w:r>
          </w:p>
        </w:tc>
      </w:tr>
      <w:tr>
        <w:trPr>
          <w:cantSplit/>
        </w:trPr>
        <w:tc>
          <w:tcPr>
            <w:tcW w:w="5000" w:type="pct"/>
            <w:shd w:val="clear" w:color="auto" w:fill="F6F8FB"/>
            <w:vAlign w:val="center"/>
          </w:tcPr>
          <w:p>
            <w:pPr>
              <w:spacing w:before="0" w:after="0" w:line="248" w:lineRule="exact"/>
            </w:pPr>
            <w:r/>
            <w:r>
              <w:rPr>
                <w:rFonts w:ascii="Helvetica Neue" w:hAnsi="Helvetica Neue" w:cs="Helvetica Neue" w:eastAsia="Helvetica Neue"/>
                <w:b w:val="0"/>
                <w:color w:val="1A1A1A"/>
                <w:sz w:val="18"/>
                <w:szCs w:val="18"/>
                <w:rtl w:val="0"/>
              </w:rPr>
              <w:t>If the page does not open at all — check the link above and your connection.</w:t>
            </w:r>
          </w:p>
        </w:tc>
      </w:tr>
    </w:tbl>
    <w:p>
      <w:pPr>
        <w:spacing w:before="0" w:after="100"/>
      </w:pPr>
    </w:p>
    <w:p>
      <w:pPr>
        <w:spacing w:before="80" w:after="0"/>
        <w:jc w:val="center"/>
      </w:pPr>
      <w:r>
        <w:rPr>
          <w:rFonts w:ascii="Helvetica Neue" w:hAnsi="Helvetica Neue" w:cs="Helvetica Neue" w:eastAsia="Helvetica Neue"/>
          <w:b/>
          <w:color w:val="2F7F95"/>
          <w:sz w:val="19"/>
          <w:szCs w:val="19"/>
          <w:bCs/>
          <w:rtl w:val="0"/>
        </w:rPr>
        <w:t>https://ahseyam.github.io/unified-lesson/</w:t>
      </w:r>
    </w:p>
    <w:p>
      <w:pPr>
        <w:spacing w:before="0" w:after="0"/>
        <w:jc w:val="center"/>
      </w:pPr>
      <w:r>
        <w:rPr>
          <w:rFonts w:ascii="Helvetica Neue" w:hAnsi="Helvetica Neue" w:cs="Helvetica Neue" w:eastAsia="Helvetica Neue"/>
          <w:b w:val="0"/>
          <w:color w:val="7F7F7F"/>
          <w:sz w:val="16"/>
          <w:szCs w:val="16"/>
          <w:rtl w:val="0"/>
        </w:rPr>
        <w:t>Planning and School Accreditation Department  ·  Ahmed Seyam</w:t>
      </w:r>
    </w:p>
    <w:sectPr w:rsidR="00FC693F" w:rsidRPr="0006063C" w:rsidSect="00034616">
      <w:headerReference w:type="default" r:id="rId9"/>
      <w:pgSz w:w="11906" w:h="16838"/>
      <w:pgMar w:top="1616" w:right="567" w:bottom="1531" w:left="567" w:header="113" w:footer="90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pPr>
    <w: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klisha"/>
          <wp:cNvGraphicFramePr/>
          <a:graphic xmlns:a="http://schemas.openxmlformats.org/drawingml/2006/main" xmlns:pic="http://schemas.openxmlformats.org/drawingml/2006/picture">
            <a:graphicData uri="http://schemas.openxmlformats.org/drawingml/2006/picture">
              <pic:pic>
                <pic:nvPicPr>
                  <pic:cNvPr id="0" name="kl_portrait.jpg"/>
                  <pic:cNvPicPr/>
                </pic:nvPicPr>
                <pic:blipFill>
                  <a:blip r:embed="rId1"/>
                  <a:stretch>
                    <a:fillRect/>
                  </a:stretch>
                </pic:blipFill>
                <pic:spPr>
                  <a:xfrm>
                    <a:off x="0" y="0"/>
                    <a:ext cx="7560000" cy="10692000"/>
                  </a:xfrm>
                  <a:prstGeom prst="rect"/>
                </pic:spPr>
              </pic:pic>
            </a:graphicData>
          </a:graphic>
        </wp:anchor>
      </w:drawing>
    </w:r>
  </w:p>
  <w:p>
    <w:pPr>
      <w:framePr w:w="4450" w:h="556" w:hRule="exact" w:x="7228" w:y="578" w:hAnchor="page" w:vAnchor="page" w:wrap="notBeside"/>
      <w:spacing w:before="77" w:after="0" w:line="400" w:lineRule="exact"/>
      <w:jc w:val="center"/>
    </w:pPr>
    <w:r>
      <w:rPr>
        <w:rFonts w:ascii="Helvetica Neue" w:hAnsi="Helvetica Neue" w:cs="Helvetica Neue" w:eastAsia="Helvetica Neue"/>
        <w:b/>
        <w:color w:val="FFFFFF"/>
        <w:sz w:val="32"/>
        <w:szCs w:val="32"/>
        <w:bCs/>
        <w:rtl w:val="0"/>
      </w:rPr>
      <w:t>Unified Lesson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bidi/>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ubai" w:hAnsi="Dubai" w:cs="Dubai" w:eastAsia="Dubai"/>
      <w:sz w:val="22"/>
      <w:szCs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