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Internal Evaluation Follow-up Team</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two members of the central administration who follow up but do not observe</w:t>
      </w:r>
    </w:p>
    <w:p>
      <w:pPr>
        <w:spacing w:before="40" w:after="120"/>
      </w:pPr>
      <w:r>
        <w:rPr>
          <w:rFonts w:ascii="Helvetica Neue" w:hAnsi="Helvetica Neue" w:cs="Helvetica Neue" w:eastAsia="Helvetica Neue"/>
          <w:b w:val="0"/>
          <w:color w:val="1A1A1A"/>
          <w:sz w:val="20"/>
          <w:szCs w:val="20"/>
          <w:rtl w:val="0"/>
        </w:rPr>
        <w:t xml:space="preserve">Your role is </w:t>
      </w:r>
      <w:r>
        <w:rPr>
          <w:rFonts w:ascii="Helvetica Neue" w:hAnsi="Helvetica Neue" w:cs="Helvetica Neue" w:eastAsia="Helvetica Neue"/>
          <w:b/>
          <w:color w:val="1A1A1A"/>
          <w:sz w:val="20"/>
          <w:szCs w:val="20"/>
          <w:bCs/>
          <w:rtl w:val="0"/>
        </w:rPr>
        <w:t>follow-up, not observation</w:t>
      </w:r>
      <w:r>
        <w:rPr>
          <w:rFonts w:ascii="Helvetica Neue" w:hAnsi="Helvetica Neue" w:cs="Helvetica Neue" w:eastAsia="Helvetica Neue"/>
          <w:b w:val="0"/>
          <w:color w:val="1A1A1A"/>
          <w:sz w:val="20"/>
          <w:szCs w:val="20"/>
          <w:rtl w:val="0"/>
        </w:rPr>
        <w:t>: you review the lessons whose subject has no supervisor and make sure no one has been forgotten, and you write your comment — and no form opens for you. That is deliberate: whoever follows up is not whoever rates.</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“Internal evaluation follow-up team” card — it is the last of them.</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are asked for neither a subject nor a complex: your scope is the whole system.</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iq.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see every lesson in the system: both sectors, the complexes and the schools.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cell is edited — following up is reading, not writing.</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q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Follow what has no supervisor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is your first task: who observes them, and whether they have been observed.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one remains with no observer, you alert the deputy or the complex manager.</w:t>
      </w:r>
    </w:p>
    <w:p>
      <w:pPr>
        <w:spacing w:before="40" w:after="80"/>
        <w:jc w:val="center"/>
      </w:pPr>
      <w:r>
        <w:drawing>
          <wp:inline xmlns:a="http://schemas.openxmlformats.org/drawingml/2006/main" xmlns:pic="http://schemas.openxmlformats.org/drawingml/2006/picture">
            <wp:extent cx="6355451" cy="3960000"/>
            <wp:docPr id="3" name="Picture 3"/>
            <wp:cNvGraphicFramePr>
              <a:graphicFrameLocks noChangeAspect="1"/>
            </wp:cNvGraphicFramePr>
            <a:graphic>
              <a:graphicData uri="http://schemas.openxmlformats.org/drawingml/2006/picture">
                <pic:pic>
                  <pic:nvPicPr>
                    <pic:cNvPr id="0" name="q_gap.png"/>
                    <pic:cNvPicPr/>
                  </pic:nvPicPr>
                  <pic:blipFill>
                    <a:blip r:embed="rId12"/>
                    <a:stretch>
                      <a:fillRect/>
                    </a:stretch>
                  </pic:blipFill>
                  <pic:spPr>
                    <a:xfrm>
                      <a:off x="0" y="0"/>
                      <a:ext cx="6355451"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Write your comment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Under “After the lesson” there is a review-and-comment card where you write what you see.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comment is saved in your name and is seen by whoever opens the lesson.</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form opens for you — and that is correct, not a fault in the platform.</w:t>
            </w:r>
          </w:p>
        </w:tc>
      </w:tr>
    </w:tbl>
    <w:p>
      <w:pPr>
        <w:spacing w:before="0" w:after="80"/>
      </w:pPr>
    </w:p>
    <w:p>
      <w:pPr>
        <w:spacing w:before="40" w:after="80"/>
        <w:jc w:val="center"/>
      </w:pPr>
      <w:r>
        <w:drawing>
          <wp:inline xmlns:a="http://schemas.openxmlformats.org/drawingml/2006/main" xmlns:pic="http://schemas.openxmlformats.org/drawingml/2006/picture">
            <wp:extent cx="5981788" cy="3960000"/>
            <wp:docPr id="4" name="Picture 4"/>
            <wp:cNvGraphicFramePr>
              <a:graphicFrameLocks noChangeAspect="1"/>
            </wp:cNvGraphicFramePr>
            <a:graphic>
              <a:graphicData uri="http://schemas.openxmlformats.org/drawingml/2006/picture">
                <pic:pic>
                  <pic:nvPicPr>
                    <pic:cNvPr id="0" name="q_note.png"/>
                    <pic:cNvPicPr/>
                  </pic:nvPicPr>
                  <pic:blipFill>
                    <a:blip r:embed="rId13"/>
                    <a:stretch>
                      <a:fillRect/>
                    </a:stretch>
                  </pic:blipFill>
                  <pic:spPr>
                    <a:xfrm>
                      <a:off x="0" y="0"/>
                      <a:ext cx="598178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Where is the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It does not open for you by the meeting's decision: observation belongs to the subject supervisor, or to the supporting team where there is none. You follow up.</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every lesson in the system — is that right?</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Yes: your scope is the whole system, unlike the complex manager who is confined to theirs.</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our follow-up count towards the lesson average?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 a comment carries no mark, so it enters no average.</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do we know what is late?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“Missing entries” report measures the schedule against the teacher roster and names whoever has not registered yet.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