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التقويم من أجل التعلم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473"/>
        <w:gridCol w:w="9297"/>
      </w:tblGrid>
      <w:tr>
        <w:trPr>
          <w:cantSplit/>
        </w:trPr>
        <w:tc>
          <w:tcPr>
            <w:tcW w:w="684" w:type="pct"/>
            <w:shd w:val="clear" w:color="auto" w:fill="E9EEF6"/>
            <w:vAlign w:val="center"/>
          </w:tcPr>
          <w:p>
            <w:pPr>
              <w:bidi/>
              <w:spacing w:before="0" w:after="0" w:line="238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ما هو؟</w:t>
            </w:r>
          </w:p>
        </w:tc>
        <w:tc>
          <w:tcPr>
            <w:tcW w:w="4315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تقويمٌ يجري أثناء الحصة ليغيّر التدريس فيها، لا بعدها ليضع درجة: أين وصل الطلاب الآن؟ وماذا أفعل بناءً عليه؟</w:t>
            </w:r>
          </w:p>
        </w:tc>
      </w:tr>
      <w:tr>
        <w:trPr>
          <w:cantSplit/>
        </w:trPr>
        <w:tc>
          <w:tcPr>
            <w:tcW w:w="684" w:type="pct"/>
            <w:shd w:val="clear" w:color="auto" w:fill="E9EEF6"/>
            <w:vAlign w:val="center"/>
          </w:tcPr>
          <w:p>
            <w:pPr>
              <w:bidi/>
              <w:spacing w:before="0" w:after="0" w:line="238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لماذا؟</w:t>
            </w:r>
          </w:p>
        </w:tc>
        <w:tc>
          <w:tcPr>
            <w:tcW w:w="4315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أكبر عائد في الأدلة العالمية على تحصيل الطلاب، ومجال التقويم أثقل مجالات استمارة الزيارة بعد العرض.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80" w:after="40"/>
      </w:pPr>
      <w:r>
        <w:rPr>
          <w:rFonts w:ascii="Dubai" w:hAnsi="Dubai" w:cs="Dubai" w:eastAsia="Dubai"/>
          <w:b/>
          <w:color w:val="C00000"/>
          <w:sz w:val="21"/>
          <w:szCs w:val="21"/>
          <w:bCs/>
          <w:rtl/>
        </w:rPr>
        <w:t>❖  كيف يظهر في الحصة؟</w:t>
      </w: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 xml:space="preserve">    أربع خطوات عملية</w:t>
      </w:r>
    </w:p>
    <w:p>
      <w:pPr>
        <w:bidi/>
        <w:spacing w:before="0" w:after="80"/>
        <w:ind w:right="17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١ 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أعلن هدف الحصة ومعيار النجاح بلغة الطالب في أولها.</w:t>
      </w:r>
    </w:p>
    <w:p>
      <w:pPr>
        <w:bidi/>
        <w:spacing w:before="0" w:after="80"/>
        <w:ind w:right="17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٢ 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اجمع دليلاً من كل الطلاب لا من المتطوعين: سبورات صغيرة · بطاقات · رفع أصابع.</w:t>
      </w:r>
    </w:p>
    <w:p>
      <w:pPr>
        <w:bidi/>
        <w:spacing w:before="0" w:after="80"/>
        <w:ind w:right="17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٣ 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أعطِ تغذية راجعة تصف الخطوة التالية، لا درجة ولا «أحسنت».</w:t>
      </w:r>
    </w:p>
    <w:p>
      <w:pPr>
        <w:bidi/>
        <w:spacing w:before="0" w:after="80"/>
        <w:ind w:right="17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٤ 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فعّل الطلاب: تقويم ذاتي بمعيار مكتوب، وتقويم أقران بلغة محددة، ثم أعِد التدريس لمن تعثّر.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Dubai" w:hAnsi="Dubai" w:cs="Dubai" w:eastAsia="Dubai"/>
          <w:b/>
          <w:color w:val="C00000"/>
          <w:sz w:val="21"/>
          <w:szCs w:val="21"/>
          <w:bCs/>
          <w:rtl/>
        </w:rPr>
        <w:t>❖  ثلاثة شواهد يراها الزائر</w:t>
      </w: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 xml:space="preserve">    إن غابت فالاتجاه لم يُطبَّق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590"/>
        <w:gridCol w:w="3590"/>
        <w:gridCol w:w="3590"/>
      </w:tblGrid>
      <w:tr>
        <w:trPr>
          <w:cantSplit/>
        </w:trPr>
        <w:tc>
          <w:tcPr>
            <w:tcW w:w="1666" w:type="pct"/>
            <w:shd w:val="clear" w:color="auto" w:fill="E2F0F3"/>
            <w:vAlign w:val="top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7"/>
                <w:szCs w:val="17"/>
                <w:rtl/>
              </w:rPr>
              <w:t>✓  معيار نجاح معروض أو مكتوب يعرفه الطلاب.</w:t>
            </w:r>
          </w:p>
        </w:tc>
        <w:tc>
          <w:tcPr>
            <w:tcW w:w="1666" w:type="pct"/>
            <w:shd w:val="clear" w:color="auto" w:fill="E2F0F3"/>
            <w:vAlign w:val="top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7"/>
                <w:szCs w:val="17"/>
                <w:rtl/>
              </w:rPr>
              <w:t>✓  لحظة يجمع فيها المعلم دليلاً من الصف كله ويغيّر خطته بناءً عليه.</w:t>
            </w:r>
          </w:p>
        </w:tc>
        <w:tc>
          <w:tcPr>
            <w:tcW w:w="1666" w:type="pct"/>
            <w:shd w:val="clear" w:color="auto" w:fill="E2F0F3"/>
            <w:vAlign w:val="top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7"/>
                <w:szCs w:val="17"/>
                <w:rtl/>
              </w:rPr>
              <w:t>✓  طالب يعدّل عمله بعد التغذية الراجعة داخل الحصة نفسها.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Dubai" w:hAnsi="Dubai" w:cs="Dubai" w:eastAsia="Dubai"/>
          <w:b/>
          <w:color w:val="C00000"/>
          <w:sz w:val="21"/>
          <w:szCs w:val="21"/>
          <w:bCs/>
          <w:rtl/>
        </w:rPr>
        <w:t>❖  أمثلة من كل مادة</w:t>
      </w: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 xml:space="preserve">    المثال مقتضب ليُحتذى لا ليُنقل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721"/>
        <w:gridCol w:w="8049"/>
      </w:tblGrid>
      <w:tr>
        <w:trPr>
          <w:cantSplit/>
        </w:trPr>
        <w:tc>
          <w:tcPr>
            <w:tcW w:w="1263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القرآن والدراسات الإسلامية</w:t>
            </w:r>
          </w:p>
        </w:tc>
        <w:tc>
          <w:tcPr>
            <w:tcW w:w="3736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بطاقة خروج: اكتب حكماً واحداً وشاهده من الآية، ثم صوّب ما أخطأت فيه.</w:t>
            </w:r>
          </w:p>
        </w:tc>
      </w:tr>
      <w:tr>
        <w:trPr>
          <w:cantSplit/>
        </w:trPr>
        <w:tc>
          <w:tcPr>
            <w:tcW w:w="1263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اللغة العربية</w:t>
            </w:r>
          </w:p>
        </w:tc>
        <w:tc>
          <w:tcPr>
            <w:tcW w:w="3736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سلّم تقدير بثلاثة معايير للفقرة، يصحّح به الطالب نفسه ثم زميله قبل التسليم.</w:t>
            </w:r>
          </w:p>
        </w:tc>
      </w:tr>
      <w:tr>
        <w:trPr>
          <w:cantSplit/>
        </w:trPr>
        <w:tc>
          <w:tcPr>
            <w:tcW w:w="1263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الرياضيات</w:t>
            </w:r>
          </w:p>
        </w:tc>
        <w:tc>
          <w:tcPr>
            <w:tcW w:w="3736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سبورة صغيرة لكل طالب: يرفع الجميع الحل في الوقت نفسه، فيرى المعلم الخطأ الشائع فوراً.</w:t>
            </w:r>
          </w:p>
        </w:tc>
      </w:tr>
      <w:tr>
        <w:trPr>
          <w:cantSplit/>
        </w:trPr>
        <w:tc>
          <w:tcPr>
            <w:tcW w:w="1263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العلوم</w:t>
            </w:r>
          </w:p>
        </w:tc>
        <w:tc>
          <w:tcPr>
            <w:tcW w:w="3736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سؤال بثلاثة خيارات فيها تصور خاطئ شائع؛ توزيع الإجابات يحدّد ما يُعاد شرحه.</w:t>
            </w:r>
          </w:p>
        </w:tc>
      </w:tr>
      <w:tr>
        <w:trPr>
          <w:cantSplit/>
        </w:trPr>
        <w:tc>
          <w:tcPr>
            <w:tcW w:w="1263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اللغة الإنجليزية</w:t>
            </w:r>
          </w:p>
        </w:tc>
        <w:tc>
          <w:tcPr>
            <w:tcW w:w="3736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Two stars and a wish: زميلك يذكر صوابين وتحسيناً واحداً في كتابتك.</w:t>
            </w:r>
          </w:p>
        </w:tc>
      </w:tr>
      <w:tr>
        <w:trPr>
          <w:cantSplit/>
        </w:trPr>
        <w:tc>
          <w:tcPr>
            <w:tcW w:w="1263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الدراسات الاجتماعية</w:t>
            </w:r>
          </w:p>
        </w:tc>
        <w:tc>
          <w:tcPr>
            <w:tcW w:w="3736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تذكرة دخول بسؤال عن درس أمس، تُحدّد بها نقطة البداية اليوم.</w:t>
            </w:r>
          </w:p>
        </w:tc>
      </w:tr>
      <w:tr>
        <w:trPr>
          <w:cantSplit/>
        </w:trPr>
        <w:tc>
          <w:tcPr>
            <w:tcW w:w="1263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المهارات الرقمية</w:t>
            </w:r>
          </w:p>
        </w:tc>
        <w:tc>
          <w:tcPr>
            <w:tcW w:w="3736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اختبار قصير على المنصة يُظهر النتيجة فوراً، فتُعاد المهمة لمن لم يتقن.</w:t>
            </w:r>
          </w:p>
        </w:tc>
      </w:tr>
      <w:tr>
        <w:trPr>
          <w:cantSplit/>
        </w:trPr>
        <w:tc>
          <w:tcPr>
            <w:tcW w:w="1263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الفنية والبدنية والمهارات الحياتية</w:t>
            </w:r>
          </w:p>
        </w:tc>
        <w:tc>
          <w:tcPr>
            <w:tcW w:w="3736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قائمة تحقق للمهارة يؤشّر عليها الطالب بعد كل محاولة.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Dubai" w:hAnsi="Dubai" w:cs="Dubai" w:eastAsia="Dubai"/>
          <w:b/>
          <w:color w:val="C00000"/>
          <w:sz w:val="21"/>
          <w:szCs w:val="21"/>
          <w:bCs/>
          <w:rtl/>
        </w:rPr>
        <w:t>❖  لا يُعدّ تطبيقاً للاتجاه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590"/>
        <w:gridCol w:w="3590"/>
        <w:gridCol w:w="3590"/>
      </w:tblGrid>
      <w:tr>
        <w:trPr>
          <w:cantSplit/>
        </w:trPr>
        <w:tc>
          <w:tcPr>
            <w:tcW w:w="1666" w:type="pct"/>
            <w:shd w:val="clear" w:color="auto" w:fill="FCEEEE"/>
            <w:vAlign w:val="top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C00000"/>
                <w:sz w:val="17"/>
                <w:szCs w:val="17"/>
                <w:rtl/>
              </w:rPr>
              <w:t>✗  درجة توضع في السجل دون أن يتغير شيء في الحصة.</w:t>
            </w:r>
          </w:p>
        </w:tc>
        <w:tc>
          <w:tcPr>
            <w:tcW w:w="1666" w:type="pct"/>
            <w:shd w:val="clear" w:color="auto" w:fill="FCEEEE"/>
            <w:vAlign w:val="top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C00000"/>
                <w:sz w:val="17"/>
                <w:szCs w:val="17"/>
                <w:rtl/>
              </w:rPr>
              <w:t>✗  «أحسنت» و«ممتاز» بلا وصف للخطوة التالية.</w:t>
            </w:r>
          </w:p>
        </w:tc>
        <w:tc>
          <w:tcPr>
            <w:tcW w:w="1666" w:type="pct"/>
            <w:shd w:val="clear" w:color="auto" w:fill="FCEEEE"/>
            <w:vAlign w:val="top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 w:val="0"/>
                <w:color w:val="C00000"/>
                <w:sz w:val="17"/>
                <w:szCs w:val="17"/>
                <w:rtl/>
              </w:rPr>
              <w:t>✗  سؤال لطالب واحد يُعدّ دليلاً على فهم الصف.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8843"/>
      </w:tblGrid>
      <w:tr>
        <w:trPr>
          <w:cantSplit/>
        </w:trPr>
        <w:tc>
          <w:tcPr>
            <w:tcW w:w="894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مؤشرات تقوّيها</w:t>
            </w:r>
          </w:p>
        </w:tc>
        <w:tc>
          <w:tcPr>
            <w:tcW w:w="4105" w:type="pct"/>
            <w:shd w:val="clear" w:color="auto" w:fill="E2F0F3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/>
                <w:color w:val="2F7F95"/>
                <w:sz w:val="17"/>
                <w:szCs w:val="17"/>
                <w:bCs/>
                <w:rtl/>
              </w:rPr>
              <w:t>م٦·١ إلى م٦·٩ مجال التقويم والتغذية الراجعة كاملاً · م٢·٨ تنويع الأسئلة · م٣·١ عدالة المشاركة</w:t>
            </w:r>
          </w:p>
        </w:tc>
      </w:tr>
      <w:tr>
        <w:trPr>
          <w:cantSplit/>
        </w:trPr>
        <w:tc>
          <w:tcPr>
            <w:tcW w:w="894" w:type="pct"/>
            <w:shd w:val="clear" w:color="auto" w:fill="E9EEF6"/>
            <w:vAlign w:val="center"/>
          </w:tcPr>
          <w:p>
            <w:pPr>
              <w:bidi/>
              <w:spacing w:before="0" w:after="0" w:line="232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7"/>
                <w:szCs w:val="17"/>
                <w:bCs/>
                <w:rtl/>
              </w:rPr>
              <w:t>استراتيجيات تخدمه</w:t>
            </w:r>
          </w:p>
        </w:tc>
        <w:tc>
          <w:tcPr>
            <w:tcW w:w="4105" w:type="pct"/>
            <w:shd w:val="clear" w:color="auto" w:fill="E2F0F3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Dubai" w:hAnsi="Dubai" w:cs="Dubai" w:eastAsia="Dubai"/>
                <w:b/>
                <w:color w:val="2F7F95"/>
                <w:sz w:val="17"/>
                <w:szCs w:val="17"/>
                <w:bCs/>
                <w:rtl/>
              </w:rPr>
              <w:t>الاستدعاء النشط والممارسة المتباعدة · التقويم البنائي · فكّر — زاوج — شارك</w:t>
            </w:r>
          </w:p>
        </w:tc>
      </w:tr>
    </w:tbl>
    <w:p>
      <w:pPr>
        <w:bidi/>
        <w:spacing w:before="60" w:after="0" w:line="200" w:lineRule="exact"/>
        <w:jc w:val="both"/>
      </w:pPr>
      <w:r>
        <w:rPr>
          <w:rFonts w:ascii="Dubai" w:hAnsi="Dubai" w:cs="Dubai" w:eastAsia="Dubai"/>
          <w:b/>
          <w:color w:val="7F7F7F"/>
          <w:sz w:val="16"/>
          <w:szCs w:val="16"/>
          <w:bCs/>
          <w:rtl/>
        </w:rPr>
        <w:t xml:space="preserve">السند: 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ديلان وليام: خمس استراتيجيات — توضيح معيار النجاح · استخراج الدليل · تغذية راجعة تُقدّم المتعلم · الطلاب مصدر تعلم لبعضهم · الطالب مالك لتعلمه.</w:t>
      </w:r>
    </w:p>
    <w:p>
      <w:pPr>
        <w:bidi/>
        <w:spacing w:before="0" w:after="0" w:line="20" w:lineRule="exact"/>
      </w:pPr>
      <w:r>
        <w:rPr>
          <w:rFonts w:ascii="Dubai" w:hAnsi="Dubai" w:cs="Dubai" w:eastAsia="Dubai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Dubai Light" w:hAnsi="Dubai Light" w:cs="Dubai Light" w:eastAsia="Dubai Light"/>
        <w:b w:val="0"/>
        <w:color w:val="7F7F7F"/>
        <w:sz w:val="14"/>
        <w:szCs w:val="14"/>
        <w:rtl/>
      </w:rPr>
      <w:t>الاتجاه التدريسي — التقويم من أجل التعلم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الاتجاه التدريسي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