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◆  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نموذج استرشادي معبَّأ · الرياضيات </w:t>
      </w:r>
      <w:r>
        <w:rPr>
          <w:rFonts w:ascii="Sakkal Majalla" w:hAnsi="Sakkal Majalla" w:cs="Sakkal Majalla" w:eastAsia="Sakkal Majalla"/>
          <w:b/>
          <w:color w:val="C00000"/>
          <w:sz w:val="23"/>
          <w:szCs w:val="23"/>
          <w:bCs/>
          <w:rtl/>
        </w:rPr>
        <w:t>١</w:t>
      </w:r>
      <w:r>
        <w:rPr>
          <w:rFonts w:ascii="Al-Jazeera-Arabic-Bold" w:hAnsi="Al-Jazeera-Arabic-Bold" w:cs="Al-Jazeera-Arabic-Bold" w:eastAsia="Al-Jazeera-Arabic-Bold"/>
          <w:b w:val="0"/>
          <w:color w:val="C00000"/>
          <w:sz w:val="19"/>
          <w:szCs w:val="19"/>
          <w:rtl/>
        </w:rPr>
        <w:t xml:space="preserve"> — أول ثانوي (مسارات)</w:t>
      </w:r>
      <w:r>
        <w:rPr>
          <w:rFonts w:ascii="Sakkal Majalla" w:hAnsi="Sakkal Majalla" w:cs="Sakkal Majalla" w:eastAsia="Sakkal Majalla"/>
          <w:b w:val="0"/>
          <w:color w:val="C00000"/>
          <w:sz w:val="17"/>
          <w:szCs w:val="17"/>
          <w:rtl/>
        </w:rPr>
        <w:t xml:space="preserve">  ◆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"/>
        <w:gridCol w:w="1644"/>
        <w:gridCol w:w="963"/>
        <w:gridCol w:w="1133"/>
        <w:gridCol w:w="1275"/>
        <w:gridCol w:w="1077"/>
        <w:gridCol w:w="1048"/>
        <w:gridCol w:w="793"/>
        <w:gridCol w:w="1247"/>
        <w:gridCol w:w="510"/>
      </w:tblGrid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اسم المعلمة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المادة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الرياضيات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الصف/الشعبة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أول ثانوي /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التاريخ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الحصة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٣</w:t>
            </w:r>
          </w:p>
        </w:tc>
      </w:tr>
      <w:tr>
        <w:trPr>
          <w:cantSplit/>
          <w:trHeight w:val="283" w:hRule="atLeast"/>
        </w:trPr>
        <w:tc>
          <w:tcPr>
            <w:tcW w:w="499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موضوع الدرس</w:t>
            </w:r>
          </w:p>
        </w:tc>
        <w:tc>
          <w:tcPr>
            <w:tcW w:w="763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العلاقات والدوال</w:t>
            </w:r>
          </w:p>
        </w:tc>
        <w:tc>
          <w:tcPr>
            <w:tcW w:w="447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رقم الدرس</w:t>
            </w:r>
          </w:p>
        </w:tc>
        <w:tc>
          <w:tcPr>
            <w:tcW w:w="52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من الفصل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١</w:t>
            </w:r>
          </w:p>
        </w:tc>
        <w:tc>
          <w:tcPr>
            <w:tcW w:w="592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نسبة الإنجاز</w:t>
            </w:r>
          </w:p>
        </w:tc>
        <w:tc>
          <w:tcPr>
            <w:tcW w:w="4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٪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٨</w:t>
            </w:r>
          </w:p>
        </w:tc>
        <w:tc>
          <w:tcPr>
            <w:tcW w:w="486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زمن الحصة</w:t>
            </w:r>
          </w:p>
        </w:tc>
        <w:tc>
          <w:tcPr>
            <w:tcW w:w="368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٤٥</w:t>
            </w:r>
          </w:p>
        </w:tc>
        <w:tc>
          <w:tcPr>
            <w:tcW w:w="578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عدد الطالبات</w:t>
            </w:r>
          </w:p>
        </w:tc>
        <w:tc>
          <w:tcPr>
            <w:tcW w:w="236" w:type="pct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/>
                <w:color w:val="1F4E79"/>
                <w:sz w:val="20"/>
                <w:szCs w:val="20"/>
                <w:bCs/>
                <w:rtl/>
              </w:rPr>
              <w:t>٢٩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١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التخطيط وتجهيز بيئة التعلم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١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السؤال الأساسي</w:t>
            </w:r>
          </w:p>
        </w:tc>
        <w:tc>
          <w:tcPr>
            <w:tcW w:w="4184" w:type="pct"/>
            <w:gridSpan w:val="6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متى تكون العلاقة بين كميتين دالة؟ ولماذا تهمّنا هذه التفرقة في قراءة البيانات؟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الوحدة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الفرق بين العلاقة والدالة؟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كيف نمثّل الدالة بأربع طرائق: جدولاً · بيانياً · جبرياً · لفظياً؟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المحتوى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ما المجال والمدى في علاقة معطاة؟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استعملي اختبار الخط الرأسي لتحدد أيّ التمثيلين دالة.</w:t>
            </w:r>
          </w:p>
        </w:tc>
        <w:tc>
          <w:tcPr>
            <w:tcW w:w="1394" w:type="pct"/>
            <w:gridSpan w:val="2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أوجد ق(٣) للدالة ق(س) = ٢س + ١.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المعرفي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تعرّف العلاقة والدالة، وتحدد المجال والمدى.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تذكر شرط كون العلاقة دالة.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المهاري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تطبّق اختبار الخط الرأسي على تمثيلات بيانية مختلفة.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تحسب قيمة الدالة عند قيم محددة وتكمل جدول قيمها.</w:t>
            </w:r>
          </w:p>
        </w:tc>
      </w:tr>
      <w:tr>
        <w:trPr>
          <w:cantSplit/>
          <w:trHeight w:val="28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الهدف الوجداني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تقدّر دور الدوال في وصف الظواهر الحياتية.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تتعاون مع زميلتها في مراجعة الحل وتصويبه.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الاتجاه التدريسي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المشكلات والمشاريع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التعليم المتمايز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التفكير الناقد والإبداعي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التقويم من أجل التعلم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التقنية والذكاء الاصطناعي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القيم وبناء الشخصية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عرض الأهداف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السبورة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على الشاشة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معلنة شفهياً في بداية الحصة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الإستراتيجية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تعلم تعاوني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استقصاء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مشروعات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لعب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مصادر التعلم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سمعي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بصري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حسّي/محسوسات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فيديو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مختبر افتراضي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Flash cards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أدوات مادية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داعمات البيئة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مصدر للقراءة والكتابة في الصف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مصدر أو محسوس للحساب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مقاعد مهيّأة للعمل التعاوني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أوراق العمل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فردية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زوجية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مجموعات تعاونية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مستويات متدرّجة</w:t>
            </w:r>
          </w:p>
        </w:tc>
      </w:tr>
    </w:tbl>
    <w:p>
      <w:pPr>
        <w:bidi/>
        <w:spacing w:before="0" w:after="0" w:line="80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  <w:gridCol w:w="2154"/>
        <w:gridCol w:w="2154"/>
        <w:gridCol w:w="2154"/>
      </w:tblGrid>
      <w:tr>
        <w:trPr>
          <w:cantSplit/>
          <w:trHeight w:val="249" w:hRule="atLeast"/>
        </w:trPr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التهيئة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التنفيذ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التقويم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الغلق</w:t>
            </w:r>
          </w:p>
        </w:tc>
        <w:tc>
          <w:tcPr>
            <w:tcW w:w="999" w:type="pct"/>
            <w:shd w:val="clear" w:color="auto" w:fill="D9D9D9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5"/>
                <w:szCs w:val="15"/>
                <w:rtl/>
              </w:rPr>
              <w:t>المجموع = زمن الحصة</w:t>
            </w:r>
          </w:p>
        </w:tc>
      </w:tr>
      <w:tr>
        <w:trPr>
          <w:cantSplit/>
          <w:trHeight w:val="283" w:hRule="atLeast"/>
        </w:trPr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٢٥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١٠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٥</w:t>
            </w:r>
          </w:p>
        </w:tc>
        <w:tc>
          <w:tcPr>
            <w:tcW w:w="999" w:type="pct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٤٥</w:t>
            </w:r>
          </w:p>
        </w:tc>
      </w:tr>
    </w:tbl>
    <w:p>
      <w:pPr>
        <w:bidi/>
        <w:spacing w:before="0" w:after="0" w:line="68" w:lineRule="exact"/>
      </w:pPr>
    </w:p>
    <w:p>
      <w:pPr>
        <w:spacing w:before="0" w:after="20"/>
      </w:pPr>
      <w:r>
        <w:rPr>
          <w:rFonts w:ascii="Al-Jazeera-Arabic-Bold" w:hAnsi="Al-Jazeera-Arabic-Bold" w:cs="Al-Jazeera-Arabic-Bold" w:eastAsia="Al-Jazeera-Arabic-Bold"/>
          <w:b w:val="0"/>
          <w:color w:val="2F7F95"/>
          <w:sz w:val="15"/>
          <w:szCs w:val="15"/>
          <w:rtl/>
        </w:rPr>
        <w:t>ومن زمن التنفيذ — داخلَه لا يُضافان إليه: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154"/>
        <w:gridCol w:w="2154"/>
      </w:tblGrid>
      <w:tr>
        <w:trPr>
          <w:cantSplit/>
          <w:trHeight w:val="249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الأولى بالرعاية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34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5"/>
                <w:szCs w:val="15"/>
                <w:rtl/>
              </w:rPr>
              <w:t>زمن الموهوبات</w:t>
            </w:r>
          </w:p>
        </w:tc>
      </w:tr>
      <w:tr>
        <w:trPr>
          <w:cantSplit/>
          <w:trHeight w:val="283" w:hRule="atLeast"/>
        </w:trPr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  <w:tc>
          <w:tcPr>
            <w:tcW w:w="2500" w:type="pct"/>
            <w:shd w:val="clear" w:color="auto" w:fill="E2F0F3"/>
            <w:vAlign w:val="center"/>
          </w:tcPr>
          <w:p>
            <w:pPr>
              <w:bidi/>
              <w:spacing w:before="0" w:after="0" w:line="242" w:lineRule="exact"/>
              <w:jc w:val="end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20"/>
                <w:szCs w:val="20"/>
                <w:rtl/>
              </w:rPr>
              <w:t>د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7"/>
                <w:szCs w:val="17"/>
                <w:rtl/>
              </w:rPr>
              <w:t xml:space="preserve">  </w:t>
            </w:r>
            <w:r>
              <w:rPr>
                <w:rFonts w:ascii="Sakkal Majalla" w:hAnsi="Sakkal Majalla" w:cs="Sakkal Majalla" w:eastAsia="Sakkal Majalla"/>
                <w:b/>
                <w:color w:val="1F4E79"/>
                <w:sz w:val="21"/>
                <w:szCs w:val="21"/>
                <w:bCs/>
                <w:rtl/>
              </w:rPr>
              <w:t>٨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190"/>
        <w:gridCol w:w="3514"/>
        <w:gridCol w:w="3514"/>
        <w:gridCol w:w="2551"/>
      </w:tblGrid>
      <w:tr>
        <w:trPr>
          <w:cantSplit/>
          <w:trHeight w:val="260" w:hRule="atLeast"/>
        </w:trPr>
        <w:tc>
          <w:tcPr>
            <w:tcW w:w="5000" w:type="pct"/>
            <w:gridSpan w:val="4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العرض وإدارة الحصة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260" w:hRule="atLeast"/>
        </w:trPr>
        <w:tc>
          <w:tcPr>
            <w:tcW w:w="552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المرحلة</w:t>
            </w:r>
          </w:p>
        </w:tc>
        <w:tc>
          <w:tcPr>
            <w:tcW w:w="1631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ما تفعله المعلمة</w:t>
            </w:r>
          </w:p>
        </w:tc>
        <w:tc>
          <w:tcPr>
            <w:tcW w:w="1631" w:type="pct"/>
            <w:shd w:val="clear" w:color="auto" w:fill="E2F0F3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2F7F95"/>
                <w:sz w:val="16"/>
                <w:szCs w:val="16"/>
                <w:rtl/>
              </w:rPr>
              <w:t>ما تفعله المتعلمة — فعلٌ يُرى</w:t>
            </w:r>
          </w:p>
        </w:tc>
        <w:tc>
          <w:tcPr>
            <w:tcW w:w="1184" w:type="pct"/>
            <w:shd w:val="clear" w:color="auto" w:fill="D9D9D9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نمط العمل وتقويمه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التهيئة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مدخل الحصة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فاتورة كهرباء وجدول استهلاك وتسأل: بأي شيء تتغير القيمة؟ ثم تعلن هدفي الحصة.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تحدد الكمية المتغيرة والمتغير التابع، وتكتبهما في دفترها.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الأول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١٨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تنمذج اختبار الخط الرأسي على ثلاثة تمثيلات، ثم توزّع بطاقات تمثيلات وتتابع وتسأل: ما دليلك؟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تصنّف المجموعة التمثيلات (دالة/ليست دالة)، وتكتب كل طالبة المجال والمدى لتمثيل واحد.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النشاط الثاني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١٧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توزّع ورقة عمل بثلاثة مستويات: قراءة جدول، ثم حساب ق(س)، ثم تمثيل بياني، وتسلّم المهمة المكيَّفة والإثرائية.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تحلّ كل طالبة مستواها، وتصوّب مع زميلتها بسلّم التقدير، وتسجّل خطأها وتصويبه.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علاجي</w:t>
            </w:r>
          </w:p>
        </w:tc>
      </w:tr>
      <w:tr>
        <w:trPr>
          <w:cantSplit/>
          <w:trHeight w:val="907" w:hRule="atLeast"/>
        </w:trPr>
        <w:tc>
          <w:tcPr>
            <w:tcW w:w="552" w:type="pct"/>
            <w:shd w:val="clear" w:color="auto" w:fill="E9EEF6"/>
            <w:vAlign w:val="center"/>
          </w:tcPr>
          <w:p>
            <w:pPr>
              <w:bidi/>
              <w:spacing w:before="0" w:after="2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الغلق</w:t>
            </w:r>
          </w:p>
          <w:p>
            <w:pPr>
              <w:bidi/>
              <w:spacing w:before="0" w:after="20" w:line="24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علم بالقلم</w:t>
            </w:r>
          </w:p>
          <w:p>
            <w:pPr>
              <w:bidi/>
              <w:spacing w:before="0" w:after="0" w:line="24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355E91"/>
                <w:sz w:val="20"/>
                <w:szCs w:val="20"/>
                <w:rtl/>
              </w:rPr>
              <w:t>الزمن: ٥ د</w:t>
            </w:r>
          </w:p>
        </w:tc>
        <w:tc>
          <w:tcPr>
            <w:tcW w:w="1631" w:type="pct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تعرض تمثيلاً جديداً وتسأل: دالة أم لا؟ ولماذا؟ وتستمع لثلاث طالبات، ثم تحدد مهمة المنصة.</w:t>
            </w:r>
          </w:p>
        </w:tc>
        <w:tc>
          <w:tcPr>
            <w:tcW w:w="1631" w:type="pct"/>
            <w:shd w:val="clear" w:color="auto" w:fill="F3F9FA"/>
            <w:vAlign w:val="top"/>
          </w:tcPr>
          <w:p>
            <w:pPr>
              <w:bidi/>
              <w:spacing w:before="0" w:after="0" w:line="292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>تكتب على بطاقة الخروج: تعريف الدالة بأسلوبها · مثالاً حياتياً عليها.</w:t>
            </w:r>
          </w:p>
        </w:tc>
        <w:tc>
          <w:tcPr>
            <w:tcW w:w="1184" w:type="pct"/>
            <w:vAlign w:val="center"/>
          </w:tcPr>
          <w:p>
            <w:pPr>
              <w:bidi/>
              <w:spacing w:before="0" w:after="100" w:line="25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فردي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ثنائي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جماعي</w:t>
            </w:r>
          </w:p>
          <w:p>
            <w:pPr>
              <w:bidi/>
              <w:spacing w:before="0" w:after="100" w:line="256" w:lineRule="exact"/>
              <w:jc w:val="center"/>
            </w:pP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تقويم أقران</w:t>
            </w:r>
          </w:p>
          <w:p>
            <w:pPr>
              <w:bidi/>
              <w:spacing w:before="0" w:after="0" w:line="256" w:lineRule="exact"/>
              <w:jc w:val="center"/>
            </w:pP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4"/>
                <w:szCs w:val="14"/>
                <w:rtl/>
              </w:rPr>
              <w:t>☑ تقويم بنائي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 xml:space="preserve">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17"/>
                <w:szCs w:val="17"/>
                <w:rtl/>
              </w:rPr>
              <w:t>☐ علاجي</w:t>
            </w:r>
          </w:p>
        </w:tc>
      </w:tr>
    </w:tbl>
    <w:p>
      <w:pPr>
        <w:pageBreakBefore/>
        <w:bidi/>
        <w:spacing w:before="0" w:after="0" w:line="46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>
              <w:t>المجال ٢ · تابع: التمايز والتحفيز والربط بالحياة — يقابله في الاستمارة المجال ٢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المكيَّفة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للفئات الأولى بالرعاية — ما هي، ولمن، ومتى تُسلَّم: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بطاقة فيها ثلاث علاقات ممثّلة بجداول صغيرة مع نموذج محلول لتحديد المجال والمدى — لخمس طالبات في النشاط الأول.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الإثرائية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لسريعات التعلم والموهوبات — تنمّي تفكيراً أعلى لا مزيداً من التمارين: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اجمعي بيانات حقيقية (درجة الحرارة كل ساعتين)، ومثّليها بيانياً، وبيّني: هل التمثيل دالة؟ وما مجالها ومداها؟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التحفيز والمشاركة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تعزيز لفظي محدد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منافسة/لعبة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احتفاء بالمنجز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توزيع الأدوار بالأسماء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أسئلة لمن لم تشارك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الربط بالحياة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مثال أو تطبيق من حياة الطالبات: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أجرة سيارة بحسب المسافة · استهلاك الكهرباء بحسب الساعات · سعر الوقود وعدد اللترات.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40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المجال ٣  ·  مشاركة المتعلمات واندماجهن — تُرصد على الطالبة، فخطّطي لها</w:t>
            </w:r>
            <w:r>
              <w:rPr>
                <w:rFonts w:ascii="Dubai Light" w:hAnsi="Dubai Light" w:cs="Dubai Light" w:eastAsia="Dubai Light"/>
                <w:b w:val="0"/>
                <w:color w:val="DCE6F1"/>
                <w:sz w:val="15"/>
                <w:szCs w:val="15"/>
                <w:rtl/>
              </w:rPr>
              <w:t xml:space="preserve">   — يقابله في الاستمارة المجال ٣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ما ستقوله المتعلمة وتفعله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أفعالٌ تُرى وتُسمع: تصوغ · تناقش · تسأل · تعرض — لا «تستمع» ولا «تنتبه»:</w:t>
            </w:r>
            <w:r>
              <w:rPr>
                <w:b w:val="0"/>
                <w:color w:val="1F4E79"/>
                <w:sz w:val="20"/>
              </w:rPr>
              <w:t xml:space="preserve">  تطبّق الطالبة اختبار الخط الرأسي وتعلن حكمها مع تعليله، وتكتب المجال والمدى لتمثيل وتعرضهما، وتسأل زميلتها: لماذا لم تكن هذه العلاقة دالة؟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عدالة المشاركة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من تبدأ، وكيف تُشرَك من لم تشارك، وتوزيعُ الأدوار بالأسماء:</w:t>
            </w:r>
            <w:r>
              <w:rPr>
                <w:b w:val="0"/>
                <w:color w:val="1F4E79"/>
                <w:sz w:val="20"/>
              </w:rPr>
              <w:t xml:space="preserve">  تُوزَّع التمثيلات بالأسماء فلكل واحدة تمثيل تحكم عليه، وتبدأ جولة الإعلان ممّن لم تُجب في النشاط السابق، ويُسنَد التدقيق لمن أنهت أولاً.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16" w:lineRule="exact"/>
              <w:jc w:val="center"/>
            </w:pPr>
            <w:r/>
            <w:r>
              <w:rPr>
                <w:rFonts w:ascii="Dubai" w:hAnsi="Dubai" w:cs="Dubai" w:eastAsia="Dubai"/>
                <w:b/>
                <w:color w:val="355E91"/>
                <w:sz w:val="16"/>
                <w:szCs w:val="16"/>
                <w:bCs/>
                <w:rtl/>
              </w:rPr>
              <w:t>العمل التعاوني وقواعد الحوار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40" w:lineRule="exact"/>
            </w:pPr>
            <w:r>
              <w:rPr>
                <w:sz w:val="18"/>
              </w:rPr>
            </w:r>
            <w:r>
              <w:rPr>
                <w:rFonts w:ascii="Dubai" w:hAnsi="Dubai" w:cs="Dubai" w:eastAsia="Dubai"/>
                <w:b w:val="0"/>
                <w:color w:val="7F7F7F"/>
                <w:sz w:val="18"/>
                <w:szCs w:val="15"/>
                <w:rtl/>
              </w:rPr>
              <w:t>كيف تعمل الطالبات معاً، وقاعدةُ الحوار المعلنة: تقبّل الرأي والمبادرة بالدعم:</w:t>
            </w:r>
            <w:r>
              <w:rPr>
                <w:b w:val="0"/>
                <w:color w:val="1F4E79"/>
                <w:sz w:val="20"/>
              </w:rPr>
              <w:t xml:space="preserve">  تصوّب الطالبتان على سلّم التقدير وتسجّلان الخطأ وتصويبه. والقاعدة المعلنة: نسأل زميلتنا كيف فكّرت قبل أن نحكم، ومن أتقنت تشرح الخطوة ولا تعطي الجواب.</w:t>
            </w:r>
          </w:p>
        </w:tc>
      </w:tr>
    </w:tbl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٤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المهارات المستهدفة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٤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القراءة والكتابة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نص تقرؤه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كتابة إجابة أو جملة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تقرأ الطالبة وصفاً لفظياً لعلاقة، وتكتب قاعدتها الجبرية بجملة رياضية.</w:t>
            </w:r>
          </w:p>
        </w:tc>
      </w:tr>
      <w:tr>
        <w:trPr>
          <w:cantSplit/>
          <w:trHeight w:val="36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المهارات العددية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حساب تنفّذه الطالبات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قراءة بيانات</w:t>
            </w:r>
          </w:p>
        </w:tc>
        <w:tc>
          <w:tcPr>
            <w:tcW w:w="2092" w:type="pct"/>
            <w:gridSpan w:val="3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كيف: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تكمل الطالبة جدول قيم لدالة خطية، وتحسب ثلاث قيم، وتمثّلها على المستوى الإحداثي.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مهارات التفكير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ناقد: تحليل · استنتاج · تقويم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إبداعي: طلاقة · مرونة · أصالة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حل مشكلات</w:t>
            </w:r>
          </w:p>
        </w:tc>
      </w:tr>
      <w:tr>
        <w:trPr>
          <w:cantSplit/>
          <w:trHeight w:val="51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نشاط التفكير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السؤال أو المهمة التي تنمّي التفكير: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علاقة تربط كل طالبة بدرجته دالة، فهل العلاقة التي تربط كل درجة بطلابها دالة أيضاً؟ ولماذا؟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٥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التقنية والتعلم الإلكتروني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٥</w:t>
            </w:r>
          </w:p>
        </w:tc>
      </w:tr>
      <w:tr>
        <w:trPr>
          <w:cantSplit/>
          <w:trHeight w:val="260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أدوات التقييم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Kahoot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Nearpod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Socrative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Wordwall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Quizizz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أخرى: ........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توظيف التقنية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الأداة بيد الطالبة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محتوى إلكتروني للدرس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سبورة ذكية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دعم من تتعثّر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المهمة على المنصة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اسم المنصة والمهمة المُسنَدة: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منصة مدرستي: تدريب «هل هي دالة؟» — ثمانية تمثيلات تُسلَّم قبل الحصة القادمة.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٦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التقويم والتغذية الراجعة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٦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التشخيصي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سؤال أو نشاط قبلي يكشف المعرفة السابقة: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سؤال قبلي: مثّلي الزوج المرتب (٢، ٥) على المستوى الإحداثي، وسمّ إحداثييه.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التقويم البنائي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بعد كل هدف — الأداة: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الهدف الأول: بطاقات (دالة/ليست دالة) على السبورات الصغيرة · بعد الهدف الثاني: جدول قيم سريع.</w:t>
            </w:r>
          </w:p>
        </w:tc>
      </w:tr>
      <w:tr>
        <w:trPr>
          <w:cantSplit/>
          <w:trHeight w:val="396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الذاتي والأقران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ذاتي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تقويم أقران</w:t>
            </w:r>
          </w:p>
        </w:tc>
        <w:tc>
          <w:tcPr>
            <w:tcW w:w="2092" w:type="pct"/>
            <w:gridSpan w:val="3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الأداة أو المعيار: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سلّم تقدير: حددتُ المجال · حددتُ المدى · طبّقتُ اختبار الخط الرأسي صحيحاً.</w:t>
            </w:r>
          </w:p>
        </w:tc>
      </w:tr>
      <w:tr>
        <w:trPr>
          <w:cantSplit/>
          <w:trHeight w:val="453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التغذية الراجعة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اللحظة التي توظّف فيها الطالبة الملاحظة لتحسين عملها: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بعد اختبار الخط الرأسي: تعيد الطالبة فحص التمثيل الذي أخطأت فيه وتكتب سبب التصحيح.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التقييم الختامي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س١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حدد المجال والمدى للعلاقة: {(١،٢)، (٣،٤)، (٥،٦)}.</w:t>
            </w:r>
          </w:p>
        </w:tc>
        <w:tc>
          <w:tcPr>
            <w:tcW w:w="2092" w:type="pct"/>
            <w:gridSpan w:val="3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س٢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هل التمثيل المعروض دالة؟ علّلي بالاختبار.</w:t>
            </w:r>
          </w:p>
        </w:tc>
      </w:tr>
      <w:tr>
        <w:trPr>
          <w:cantSplit/>
          <w:trHeight w:val="538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أسئلة تفكير عليا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س٣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لماذا لا يجوز أن يرتبط عنصر من المجال بعنصرين في المدى؟</w:t>
            </w:r>
          </w:p>
        </w:tc>
        <w:tc>
          <w:tcPr>
            <w:tcW w:w="2092" w:type="pct"/>
            <w:gridSpan w:val="3"/>
            <w:shd w:val="clear" w:color="auto" w:fill="F6F8FB"/>
            <w:vAlign w:val="top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س٤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صف موقفاً حياتياً تكون العلاقة فيه دالة وآخر لا تكون، وعلّلي.</w:t>
            </w:r>
          </w:p>
        </w:tc>
      </w:tr>
    </w:tbl>
    <w:p>
      <w:pPr>
        <w:bidi/>
        <w:spacing w:before="0" w:after="0" w:line="114" w:lineRule="exact"/>
      </w:pP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757"/>
        <w:gridCol w:w="1502"/>
        <w:gridCol w:w="1502"/>
        <w:gridCol w:w="1502"/>
        <w:gridCol w:w="1502"/>
        <w:gridCol w:w="1502"/>
        <w:gridCol w:w="1502"/>
      </w:tblGrid>
      <w:tr>
        <w:trPr>
          <w:cantSplit/>
          <w:trHeight w:val="260" w:hRule="atLeast"/>
        </w:trPr>
        <w:tc>
          <w:tcPr>
            <w:tcW w:w="5000" w:type="pct"/>
            <w:gridSpan w:val="7"/>
            <w:shd w:val="clear" w:color="auto" w:fill="355E91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المجال </w:t>
            </w:r>
            <w:r>
              <w:rPr>
                <w:rFonts w:ascii="Sakkal Majalla" w:hAnsi="Sakkal Majalla" w:cs="Sakkal Majalla" w:eastAsia="Sakkal Majalla"/>
                <w:b/>
                <w:color w:val="FFFFFF"/>
                <w:sz w:val="23"/>
                <w:szCs w:val="23"/>
                <w:bCs/>
                <w:rtl/>
              </w:rPr>
              <w:t>٧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FFFFFF"/>
                <w:sz w:val="18"/>
                <w:szCs w:val="18"/>
                <w:rtl/>
              </w:rPr>
              <w:t xml:space="preserve">  ·  بناء شخصية الطالبة</w:t>
            </w:r>
            <w:r>
              <w:rPr>
                <w:rFonts w:ascii="Sakkal Majalla" w:hAnsi="Sakkal Majalla" w:cs="Sakkal Majalla" w:eastAsia="Sakkal Majalla"/>
                <w:b w:val="0"/>
                <w:color w:val="DCE6F1"/>
                <w:sz w:val="18"/>
                <w:szCs w:val="18"/>
                <w:rtl/>
              </w:rPr>
              <w:t xml:space="preserve">   — يقابله في الاستمارة المجال ٧</w:t>
            </w:r>
          </w:p>
        </w:tc>
      </w:tr>
      <w:tr>
        <w:trPr>
          <w:cantSplit/>
          <w:trHeight w:val="425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قيمة الأسبوع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74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7F7F7F"/>
                <w:sz w:val="18"/>
                <w:szCs w:val="18"/>
                <w:rtl/>
              </w:rPr>
              <w:t>وربطها بمحتوى الدرس:</w:t>
            </w:r>
            <w:r>
              <w:rPr>
                <w:rFonts w:ascii="Sakkal Majalla" w:hAnsi="Sakkal Majalla" w:cs="Sakkal Majalla" w:eastAsia="Sakkal Majalla"/>
                <w:b w:val="0"/>
                <w:color w:val="1F4E79"/>
                <w:sz w:val="20"/>
                <w:szCs w:val="20"/>
                <w:rtl/>
              </w:rPr>
              <w:t xml:space="preserve">  الدقة في الحكم: لا يُحكم على التمثيل قبل تطبيق الاختبار — تُربط بنشاط اختبار الخط الرأسي.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التلخيص</w:t>
            </w:r>
          </w:p>
        </w:tc>
        <w:tc>
          <w:tcPr>
            <w:tcW w:w="4184" w:type="pct"/>
            <w:gridSpan w:val="6"/>
            <w:shd w:val="clear" w:color="auto" w:fill="F6F8FB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SRKW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التلخيص الشفهي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علم بالقلم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خرائط المفاهيم</w:t>
            </w:r>
          </w:p>
        </w:tc>
      </w:tr>
      <w:tr>
        <w:trPr>
          <w:cantSplit/>
          <w:trHeight w:val="249" w:hRule="atLeast"/>
        </w:trPr>
        <w:tc>
          <w:tcPr>
            <w:tcW w:w="815" w:type="pct"/>
            <w:shd w:val="clear" w:color="auto" w:fill="E9EEF6"/>
            <w:vAlign w:val="center"/>
          </w:tcPr>
          <w:p>
            <w:pPr>
              <w:bidi/>
              <w:spacing w:before="0" w:after="0" w:line="246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مهارة الغلق</w:t>
            </w:r>
          </w:p>
        </w:tc>
        <w:tc>
          <w:tcPr>
            <w:tcW w:w="4184" w:type="pct"/>
            <w:gridSpan w:val="6"/>
            <w:vAlign w:val="center"/>
          </w:tcPr>
          <w:p>
            <w:pPr>
              <w:bidi/>
              <w:spacing w:before="0" w:after="0" w:line="298" w:lineRule="exact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التعبير أمام الزميلات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تمثيل أدوار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Al-Jazeera-Arabic-Bold" w:hAnsi="Al-Jazeera-Arabic-Bold" w:cs="Al-Jazeera-Arabic-Bold" w:eastAsia="Al-Jazeera-Arabic-Bold"/>
                <w:b w:val="0"/>
                <w:color w:val="1F4E79"/>
                <w:sz w:val="16"/>
                <w:szCs w:val="16"/>
                <w:rtl/>
              </w:rPr>
              <w:t>☑ تقييم أقران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 xml:space="preserve">     </w:t>
            </w:r>
            <w:r>
              <w:rPr>
                <w:rFonts w:ascii="Sakkal Majalla" w:hAnsi="Sakkal Majalla" w:cs="Sakkal Majalla" w:eastAsia="Sakkal Majalla"/>
                <w:b w:val="0"/>
                <w:color w:val="1A1A1A"/>
                <w:sz w:val="20"/>
                <w:szCs w:val="20"/>
                <w:rtl/>
              </w:rPr>
              <w:t>☐ نقاشات ختامية</w:t>
            </w:r>
          </w:p>
        </w:tc>
      </w:tr>
    </w:tbl>
    <w:p>
      <w:pPr>
        <w:bidi/>
        <w:spacing w:before="40" w:after="60" w:line="228" w:lineRule="exact"/>
      </w:pP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>المجال ٨ (مهارات المعلمة وقدراتها) يُرصد في الزيارة ولا يُحضَّر.</w:t>
      </w:r>
      <w:r>
        <w:rPr>
          <w:rFonts w:ascii="Sakkal Majalla" w:hAnsi="Sakkal Majalla" w:cs="Sakkal Majalla" w:eastAsia="Sakkal Majalla"/>
          <w:b w:val="0"/>
          <w:color w:val="7F7F7F"/>
          <w:sz w:val="18"/>
          <w:szCs w:val="18"/>
          <w:rtl/>
        </w:rPr>
        <w:t xml:space="preserve">     مصدر الدرس: الفصل الأول (أساسيات الجبر) — درس العلاقات والدوال، من مقرر الرياضيات ١-١ للسنة الأولى المشتركة.</w:t>
      </w:r>
    </w:p>
    <w:tbl>
      <w:tblPr>
        <w:bidiVisual/>
        <w:tblW w:w="5000" w:type="pct"/>
        <w:jc w:val="center"/>
        <w:tblBorders>
          <w:top w:val="single" w:sz="16" w:space="0" w:color="355E91"/>
          <w:left w:val="single" w:sz="16" w:space="0" w:color="355E91"/>
          <w:bottom w:val="single" w:sz="16" w:space="0" w:color="355E91"/>
          <w:right w:val="single" w:sz="16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2692"/>
        <w:gridCol w:w="2692"/>
        <w:gridCol w:w="2692"/>
        <w:gridCol w:w="2692"/>
      </w:tblGrid>
      <w:tr>
        <w:trPr>
          <w:cantSplit/>
          <w:trHeight w:val="249" w:hRule="atLeast"/>
        </w:trPr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توقيع المعلمة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الوكيلة التعليمية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المشرفة المختصة</w:t>
            </w:r>
          </w:p>
        </w:tc>
        <w:tc>
          <w:tcPr>
            <w:tcW w:w="1250" w:type="pct"/>
            <w:shd w:val="clear" w:color="auto" w:fill="E9EEF6"/>
            <w:vAlign w:val="center"/>
          </w:tcPr>
          <w:p>
            <w:pPr>
              <w:bidi/>
              <w:spacing w:before="0" w:after="0" w:line="242" w:lineRule="exact"/>
              <w:jc w:val="center"/>
            </w:pPr>
            <w:r/>
            <w:r>
              <w:rPr>
                <w:rFonts w:ascii="Al-Jazeera-Arabic-Bold" w:hAnsi="Al-Jazeera-Arabic-Bold" w:cs="Al-Jazeera-Arabic-Bold" w:eastAsia="Al-Jazeera-Arabic-Bold"/>
                <w:b w:val="0"/>
                <w:color w:val="355E91"/>
                <w:sz w:val="16"/>
                <w:szCs w:val="16"/>
                <w:rtl/>
              </w:rPr>
              <w:t>مديرة المدرسة</w:t>
            </w:r>
          </w:p>
        </w:tc>
      </w:tr>
      <w:tr>
        <w:trPr>
          <w:cantSplit/>
          <w:trHeight w:val="566" w:hRule="atLeast"/>
        </w:trPr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  <w:tc>
          <w:tcPr>
            <w:tcW w:w="1250" w:type="pct"/>
            <w:vAlign w:val="center"/>
          </w:tcPr>
          <w:p>
            <w:pPr>
              <w:bidi/>
              <w:spacing w:before="0" w:after="0" w:line="272" w:lineRule="exact"/>
            </w:pPr>
            <w:r/>
          </w:p>
        </w:tc>
      </w:tr>
    </w:tbl>
    <w:p>
      <w:pPr>
        <w:bidi/>
        <w:spacing w:before="0" w:after="0" w:line="22" w:lineRule="exact"/>
      </w:pPr>
      <w:r>
        <w:rPr>
          <w:rFonts w:ascii="Sakkal Majalla" w:hAnsi="Sakkal Majalla" w:cs="Sakkal Majalla" w:eastAsia="Sakkal Majalla"/>
          <w:b w:val="0"/>
          <w:sz w:val="2"/>
          <w:szCs w:val="2"/>
          <w:rtl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0" w:after="0"/>
      <w:jc w:val="center"/>
    </w:pPr>
    <w:r/>
    <w:r>
      <w:rPr>
        <w:rFonts w:ascii="Sakkal Majalla" w:hAnsi="Sakkal Majalla" w:cs="Sakkal Majalla" w:eastAsia="Sakkal Majalla"/>
        <w:b w:val="0"/>
        <w:color w:val="7F7F7F"/>
        <w:sz w:val="17"/>
        <w:szCs w:val="17"/>
        <w:rtl/>
      </w:rPr>
      <w:t xml:space="preserve">نموذج تحضير الحصة — مدارس ابن خلدون   ·   الوجه </w:t>
    </w:r>
    <w:fldSimple w:instr=" PAGE ">
      <w:r>
        <w:rPr>
          <w:rFonts w:ascii="Dubai" w:hAnsi="Dubai" w:cs="Dubai"/>
          <w:sz w:val="14"/>
          <w:szCs w:val="14"/>
          <w:color w:val="7F7F7F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Al-Jazeera-Arabic-Bold" w:hAnsi="Al-Jazeera-Arabic-Bold" w:cs="Al-Jazeera-Arabic-Bold" w:eastAsia="Al-Jazeera-Arabic-Bold"/>
        <w:b w:val="0"/>
        <w:color w:val="FFFFFF"/>
        <w:sz w:val="32"/>
        <w:szCs w:val="32"/>
        <w:rtl/>
      </w:rPr>
      <w:t>نموذج تحضير الحصة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