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◆  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>نموذج استرشادي معبَّأ · الدراسات الإسلامية — أول ثانوي (مسارات)</w:t>
      </w: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  ◆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"/>
        <w:gridCol w:w="1644"/>
        <w:gridCol w:w="963"/>
        <w:gridCol w:w="1133"/>
        <w:gridCol w:w="1275"/>
        <w:gridCol w:w="1077"/>
        <w:gridCol w:w="1048"/>
        <w:gridCol w:w="793"/>
        <w:gridCol w:w="1247"/>
        <w:gridCol w:w="510"/>
      </w:tblGrid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اسم المعلم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المادة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الدراسات الإسلامية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الصف/الشعبة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أول ثانوي /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التاريخ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الحصة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</w:p>
        </w:tc>
      </w:tr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موضوع الدرس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حديث «إنما الأعمال بالنيات»</w:t>
            </w:r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رقم الدرس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من وحدة النية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نسبة الإنجاز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٪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٦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زمن الحصة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٤٥</w:t>
            </w:r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عدد الطلاب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٣٠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التخطيط وتجهيز بيئة التعلم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١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السؤال الأساسي</w:t>
            </w:r>
          </w:p>
        </w:tc>
        <w:tc>
          <w:tcPr>
            <w:tcW w:w="4184" w:type="pct"/>
            <w:gridSpan w:val="6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عملان ظاهرهما واحد وأجرهما مختلف — ما الذي فرّق بينهما؟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الوحدة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منزلة النية في العمل؟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يتحول العمل العادي إلى عبادة؟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المحتوى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معنى «إنما» في أول الحديث؟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اذكر راوي الحديث ودرجته.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استخرج من الحديث ثلاث فوائد سلوكية.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المعرفي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يذكر نصّ الحديث وراويه ودرجته.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يوضح معاني مفرداته: إنما · النية · الهجرة.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المهاري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يستنبط ثلاث فوائد من الحديث ويربط كلاً منها بموقف واقعي.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يميّز بين العمل الذي تُصلحه النية والعمل الذي لا تُصلحه.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الوجداني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يحرص على إخلاص النية في عمله المدرسي وعبادته.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يعتزّ بشمول الإسلام لحياته كلها.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الاتجاه التدريسي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المشكلات والمشاريع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التعليم المتمايز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التفكير الناقد والإبداعي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التقويم من أجل التعلم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التقنية والذكاء الاصطناعي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القيم وبناء الشخصية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عرض الأهداف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السبورة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معلنة شفهياً في بداية الحصة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الإستراتيجية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تعلم تعاوني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استقصاء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مشروعات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لعب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مصادر التعلم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سمعي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بصري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حسّي/محسوسات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فيديو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مختبر افتراضي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Flash cards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أدوات مادية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داعمات البيئة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مصدر للقراءة والكتابة في الصف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مصدر أو محسوس للحساب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مقاعد مهيّأة للعمل التعاوني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أوراق العمل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فردية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زوجية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مجموعات تعاونية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مستويات متدرّجة</w:t>
            </w:r>
          </w:p>
        </w:tc>
      </w:tr>
    </w:tbl>
    <w:p>
      <w:pPr>
        <w:bidi/>
        <w:spacing w:before="0" w:after="0" w:line="8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  <w:gridCol w:w="2154"/>
        <w:gridCol w:w="2154"/>
        <w:gridCol w:w="2154"/>
      </w:tblGrid>
      <w:tr>
        <w:trPr>
          <w:cantSplit/>
          <w:trHeight w:val="249" w:hRule="atLeast"/>
        </w:trPr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التهيئة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التنفيذ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التقويم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الغلق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المجموع = زمن الحصة</w:t>
            </w:r>
          </w:p>
        </w:tc>
      </w:tr>
      <w:tr>
        <w:trPr>
          <w:cantSplit/>
          <w:trHeight w:val="283" w:hRule="atLeast"/>
        </w:trPr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٢٥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١٠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٤٥</w:t>
            </w:r>
          </w:p>
        </w:tc>
      </w:tr>
    </w:tbl>
    <w:p>
      <w:pPr>
        <w:bidi/>
        <w:spacing w:before="0" w:after="0" w:line="68" w:lineRule="exact"/>
      </w:pPr>
    </w:p>
    <w:p>
      <w:pPr>
        <w:spacing w:before="0" w:after="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5"/>
          <w:szCs w:val="15"/>
          <w:rtl/>
        </w:rPr>
        <w:t>ومن زمن التنفيذ — داخلَه لا يُضافان إليه: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</w:tblGrid>
      <w:tr>
        <w:trPr>
          <w:cantSplit/>
          <w:trHeight w:val="249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الأولى بالرعاية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الموهوبين</w:t>
            </w:r>
          </w:p>
        </w:tc>
      </w:tr>
      <w:tr>
        <w:trPr>
          <w:cantSplit/>
          <w:trHeight w:val="283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190"/>
        <w:gridCol w:w="3514"/>
        <w:gridCol w:w="3514"/>
        <w:gridCol w:w="2551"/>
      </w:tblGrid>
      <w:tr>
        <w:trPr>
          <w:cantSplit/>
          <w:trHeight w:val="260" w:hRule="atLeast"/>
        </w:trPr>
        <w:tc>
          <w:tcPr>
            <w:tcW w:w="5000" w:type="pct"/>
            <w:gridSpan w:val="4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العرض وإدارة الحصة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260" w:hRule="atLeast"/>
        </w:trPr>
        <w:tc>
          <w:tcPr>
            <w:tcW w:w="552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المرحلة</w:t>
            </w:r>
          </w:p>
        </w:tc>
        <w:tc>
          <w:tcPr>
            <w:tcW w:w="1631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ما يفعله المعلم</w:t>
            </w:r>
          </w:p>
        </w:tc>
        <w:tc>
          <w:tcPr>
            <w:tcW w:w="1631" w:type="pct"/>
            <w:shd w:val="clear" w:color="auto" w:fill="E2F0F3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6"/>
                <w:szCs w:val="16"/>
                <w:rtl/>
              </w:rPr>
              <w:t>ما يفعله المتعلم — فعلٌ يُرى</w:t>
            </w:r>
          </w:p>
        </w:tc>
        <w:tc>
          <w:tcPr>
            <w:tcW w:w="1184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نمط العمل وتقويمه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التهيئة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مدخل الحصة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يعرض موقفين متطابقين ظاهراً مختلفين نيةً ويسأل: أيّهما أعظم أجراً؟ ثم يعلن هدفي الحصة.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يكتب في دفتره اختياره وسببه، ويشارك زميله فيه.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الأول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١٨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يقرأ الحديث قراءة مجوّدة، ثم يوزّع بطاقات مفرداته على المجموعات، ويتابع الشرح ويصحّح فوراً.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تفسّر المجموعة المفردات، ويقرأ كل طالب جزءاً من الحديث ويستنبط منه فائدة بصوت مسموع.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الثاني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١٧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يعرض ثمانية مواقف ويطلب تصنيفها بحسب النية، ويسلّم المهمة المكيَّفة والإثرائية لأصحابها.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يصنّف كل طالب المواقف في ورقته، ثم يقارن مع زميله ويصوّب بلون آخر بالدليل.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الغلق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علم بالقلم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يسأل: ما العمل الذي ستنوي به غداً نية جديدة؟ ويستمع لثلاثة طلاب، ثم يحدد مهمة المنصة.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يكتب على بطاقة الخروج: فائدة من الحديث · عملاً عادياً سيحوّله بنيته إلى عبادة.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</w:tbl>
    <w:p>
      <w:pPr>
        <w:pageBreakBefore/>
        <w:bidi/>
        <w:spacing w:before="0" w:after="0" w:line="46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تابع: التمايز والتحفيز والربط بالحياة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المكيَّفة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للفئات الأولى بالرعاية — ما هي، ولمن، ومتى تُسلَّم: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بطاقة فيها نصّ الحديث مقسوماً إلى ثلاث جمل، ولكل جملة سؤال مباشر إجابته في السطر نفسه — لأربعة طلاب في النشاط الأول.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الإثرائية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لسريعي التعلم والموهوبين — تنمّي تفكيراً أعلى لا مزيداً من التمارين: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اكتب ثلاثة أعمال عادية في يومك، وبيّن كيف تحوّلها النية إلى عبادة، ثم اذكر ما لا يصح فيه ذلك.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التحفيز والمشاركة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تعزيز لفظي محدد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منافسة/لعبة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احتفاء بالمنجز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توزيع الأدوار بالأسماء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أسئلة لمن لم يشارك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الربط بالحياة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مثال أو تطبيق من حياة الطلاب: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طلب العلم في المدرسة · مساعدة الزميل · العمل الوظيفي · الرياضة والنوم بنية التقوّي.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المجال ٣  ·  مشاركة المتعلمين واندماجهم — يُرصد على الطالب، فخطّط له</w:t>
            </w:r>
            <w:r>
              <w:rPr>
                <w:rFonts w:ascii="Dubai Light" w:hAnsi="Dubai Light" w:cs="Dubai Light" w:eastAsia="Dubai Light"/>
                <w:b w:val="0"/>
                <w:color w:val="DCE6F1"/>
                <w:sz w:val="15"/>
                <w:szCs w:val="15"/>
                <w:rtl/>
              </w:rPr>
              <w:t xml:space="preserve">   — يقابله في الاستمارة المجال ٣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ما سيقوله المتعلم ويفعله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أفعالٌ تُرى وتُسمع: يصوغ · يناقش · يسأل · يعرض — لا «يستمع» ولا «ينتبه»:</w:t>
            </w:r>
            <w:r>
              <w:rPr>
                <w:b w:val="0"/>
                <w:color w:val="1F4E79"/>
                <w:sz w:val="20"/>
              </w:rPr>
              <w:t xml:space="preserve">  يقرأ الطالب جزءاً من الحديث ويستنبط منه فائدة بصوت مسموع، ويربطها بموقف واقعي، ويناقش زميله: هل تُصلح النيةُ هذا العمل أم لا؟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عدالة المشاركة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من يبدأ، وكيف يُشرَك من لم يشارك، وتوزيعُ الأدوار بالأسماء:</w:t>
            </w:r>
            <w:r>
              <w:rPr>
                <w:b w:val="0"/>
                <w:color w:val="1F4E79"/>
                <w:sz w:val="20"/>
              </w:rPr>
              <w:t xml:space="preserve">  تُقسَّم مفردات الحديث على الأفراد بالأسماء، ويُسنَد عرض الخلاصة لمن لم يعرض في الحصة الماضية، ويُستفتح النقاش بسؤال موجَّه للصامت.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العمل التعاوني وقواعد الحوار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كيف يعمل الطلاب معاً، وقاعدةُ الحوار المعلنة: تقبّل الرأي والمبادرة بالدعم:</w:t>
            </w:r>
            <w:r>
              <w:rPr>
                <w:b w:val="0"/>
                <w:color w:val="1F4E79"/>
                <w:sz w:val="20"/>
              </w:rPr>
              <w:t xml:space="preserve">  تفسّر المجموعة المفردات معاً ثم يصنّف كل واحد المواقف ويقارن مع زميله. والقاعدة المعلنة: الخلاف يُردّ إلى النص، ومن أخطأ يُصوَّب بالدليل لا بالتخطئة.</w:t>
            </w:r>
          </w:p>
        </w:tc>
      </w:tr>
    </w:tbl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٤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المهارات المستهدفة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٤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القراءة والكتابة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نص يقرؤه الطلاب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كتابة إجابة أو جملة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يقرأ الطالب نص الحديث قراءة صحيحة، ويكتب فائدة سلوكية واحدة بأسلوبه.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المهارات العددية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حساب ينفّذه الطلاب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قراءة بيانات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يحصي الطالب عدد الفوائد المستنبطة في مجموعته، ويرتّبها بحسب قابليتها للتطبيق اليوم.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مهارات التفكير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ناقد: تحليل · استنتاج · تقويم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إبداعي: طلاقة · مرونة · أصالة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</w:p>
        </w:tc>
      </w:tr>
      <w:tr>
        <w:trPr>
          <w:cantSplit/>
          <w:trHeight w:val="51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نشاط التفكير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السؤال أو المهمة التي تنمّي التفكير: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شخصان تصدّقا بالمبلغ نفسه، أحدهما ابتغى وجه الله والآخر الثناء — ما الأثر في الدنيا والآخرة؟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٥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التقنية والتعلم الإلكتروني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٥</w:t>
            </w:r>
          </w:p>
        </w:tc>
      </w:tr>
      <w:tr>
        <w:trPr>
          <w:cantSplit/>
          <w:trHeight w:val="26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أدوات التقييم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Kahoot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Nearpod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Socrative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Wordwall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Quizizz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توظيف التقنية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الأداة بيد الطالب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محتوى إلكتروني للدرس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سبورة ذكية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دعم من يتعثّر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على المنصة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اسم المنصة والمهمة المُسنَدة: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منصة مدرستي: نشاط «حوّل العمل العادي إلى عبادة» — يُسلَّم قبل الحصة القادمة.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٦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التقويم والتغذية الراجعة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٦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التشخيصي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سؤال أو نشاط قبلي يكشف المعرفة السابقة: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سؤال قبلي: هل يتساوى عملان ظاهرهما واحد؟ ولماذا؟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البنائي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بعد كل هدف — الأداة: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الهدف الأول: ترديد نص الحديث وضبط مفرداته · بعد الهدف الثاني: تصنيف مواقف (نية صالحة/غير صالحة).</w:t>
            </w:r>
          </w:p>
        </w:tc>
      </w:tr>
      <w:tr>
        <w:trPr>
          <w:cantSplit/>
          <w:trHeight w:val="396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الذاتي والأقران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الأداة أو المعيار: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سلّم تقدير: قرأتُ النص صحيحاً · فسّرتُ مفردتين · استنبطتُ فائدة بدليل.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التغذية الراجعة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اللحظة التي يوظّف فيها الطالب الملاحظة لتحسين عمله: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الاستنباط: يعيد الطالب صياغة فائدته بعد ملاحظة محددة، ويربطها بموقف من حياته.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التقييم الختامي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اذكر نص الحديث وراويه.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استخرج فائدتين سلوكيتين من الحديث.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تفكير عليا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لماذا افتُتح الحديث بأسلوب الحصر «إنما»؟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س٤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تكشف نيتك لنفسك قبل أن تعمل؟ اذكر معياراً عملياً.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٧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بناء شخصية الطالب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٧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قيمة الأسبوع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وربطها بمحتوى الدرس: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الإخلاص: عملٌ صغير بنية صادقة خيرٌ من كبير بلا نية — تُربط بمهمة تحويل العمل العادي.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التلخيص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SRKW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التلخيص الشفهي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علم بالقلم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خرائط المفاهيم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الغلق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التعبير أمام الزملاء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تمثيل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تقييم أقران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نقاشات ختامية</w:t>
            </w:r>
          </w:p>
        </w:tc>
      </w:tr>
    </w:tbl>
    <w:p>
      <w:pPr>
        <w:bidi/>
        <w:spacing w:before="40" w:after="60" w:line="228" w:lineRule="exact"/>
      </w:pP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>المجال ٨ (مهارات المعلم وقدراته) يُرصد في الزيارة ولا يُحضَّر.</w:t>
      </w: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 xml:space="preserve">     مصدر الدرس: مقرر الحديث ١ — حديث «إنما الأعمال بالنيات» ومعانيه، للسنة الأولى المشتركة — الفصل الدراسي الأول.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692"/>
        <w:gridCol w:w="2692"/>
        <w:gridCol w:w="2692"/>
        <w:gridCol w:w="2692"/>
      </w:tblGrid>
      <w:tr>
        <w:trPr>
          <w:cantSplit/>
          <w:trHeight w:val="249" w:hRule="atLeast"/>
        </w:trPr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توقيع المعلم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الوكيل التعليمي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المشرف المختص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مدير المدرسة</w:t>
            </w:r>
          </w:p>
        </w:tc>
      </w:tr>
      <w:tr>
        <w:trPr>
          <w:cantSplit/>
          <w:trHeight w:val="566" w:hRule="atLeast"/>
        </w:trPr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</w:tr>
    </w:tbl>
    <w:p>
      <w:pPr>
        <w:bidi/>
        <w:spacing w:before="0" w:after="0" w:line="22" w:lineRule="exact"/>
      </w:pPr>
      <w:r>
        <w:rPr>
          <w:rFonts w:ascii="Sakkal Majalla" w:hAnsi="Sakkal Majalla" w:cs="Sakkal Majalla" w:eastAsia="Sakkal Majalla"/>
          <w:b w:val="0"/>
          <w:sz w:val="2"/>
          <w:szCs w:val="2"/>
          <w:rtl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0" w:after="0"/>
      <w:jc w:val="center"/>
    </w:pPr>
    <w:r/>
    <w:r>
      <w:rPr>
        <w:rFonts w:ascii="Sakkal Majalla" w:hAnsi="Sakkal Majalla" w:cs="Sakkal Majalla" w:eastAsia="Sakkal Majalla"/>
        <w:b w:val="0"/>
        <w:color w:val="7F7F7F"/>
        <w:sz w:val="17"/>
        <w:szCs w:val="17"/>
        <w:rtl/>
      </w:rPr>
      <w:t xml:space="preserve">نموذج تحضير الحصة — مدارس ابن خلدون   ·   الوجه </w:t>
    </w:r>
    <w:fldSimple w:instr=" PAGE ">
      <w:r>
        <w:rPr>
          <w:rFonts w:ascii="Dubai" w:hAnsi="Dubai" w:cs="Dubai"/>
          <w:sz w:val="14"/>
          <w:szCs w:val="14"/>
          <w:color w:val="7F7F7F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نموذج تحضير الحصة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