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Dubai" w:hAnsi="Dubai" w:cs="Dubai" w:eastAsia="Dubai"/>
          <w:b w:val="0"/>
          <w:color w:val="C00000"/>
          <w:sz w:val="14"/>
          <w:szCs w:val="14"/>
          <w:rtl/>
        </w:rPr>
        <w:t xml:space="preserve">◆  </w:t>
      </w:r>
      <w:r>
        <w:rPr>
          <w:rFonts w:ascii="Dubai" w:hAnsi="Dubai" w:cs="Dubai" w:eastAsia="Dubai"/>
          <w:b/>
          <w:color w:val="C00000"/>
          <w:sz w:val="26"/>
          <w:szCs w:val="26"/>
          <w:bCs/>
          <w:rtl/>
        </w:rPr>
        <w:t>دليل استخدام المنصة — المشرفة التربوية المختصة</w:t>
      </w:r>
      <w:r>
        <w:rPr>
          <w:rFonts w:ascii="Dubai" w:hAnsi="Dubai" w:cs="Dubai" w:eastAsia="Dubai"/>
          <w:b w:val="0"/>
          <w:color w:val="C00000"/>
          <w:sz w:val="14"/>
          <w:szCs w:val="14"/>
          <w:rtl/>
        </w:rPr>
        <w:t xml:space="preserve">  ◆</w:t>
      </w:r>
    </w:p>
    <w:p>
      <w:pPr>
        <w:bidi/>
        <w:spacing w:before="0" w:after="120"/>
        <w:jc w:val="center"/>
      </w:pPr>
      <w:r>
        <w:rPr>
          <w:rFonts w:ascii="Dubai" w:hAnsi="Dubai" w:cs="Dubai" w:eastAsia="Dubai"/>
          <w:b/>
          <w:color w:val="355E91"/>
          <w:sz w:val="19"/>
          <w:szCs w:val="19"/>
          <w:bCs/>
          <w:rtl/>
        </w:rPr>
        <w:t>لمن: المشرفةُ التربويةُ التي تدور على المجمعات بتخصصها</w:t>
      </w:r>
    </w:p>
    <w:p>
      <w:pPr>
        <w:bidi/>
        <w:spacing w:before="40" w:after="120"/>
      </w:pPr>
      <w:r>
        <w:rPr>
          <w:rFonts w:ascii="Dubai" w:hAnsi="Dubai" w:cs="Dubai" w:eastAsia="Dubai"/>
          <w:b w:val="0"/>
          <w:color w:val="1A1A1A"/>
          <w:sz w:val="20"/>
          <w:szCs w:val="20"/>
          <w:rtl/>
        </w:rPr>
        <w:t xml:space="preserve">نطاقُك ليس مدرسةً بل </w:t>
      </w:r>
      <w:r>
        <w:rPr>
          <w:rFonts w:ascii="Dubai" w:hAnsi="Dubai" w:cs="Dubai" w:eastAsia="Dubai"/>
          <w:b/>
          <w:color w:val="1A1A1A"/>
          <w:sz w:val="20"/>
          <w:szCs w:val="20"/>
          <w:bCs/>
          <w:rtl/>
        </w:rPr>
        <w:t>تخصصاً</w:t>
      </w:r>
      <w:r>
        <w:rPr>
          <w:rFonts w:ascii="Dubai" w:hAnsi="Dubai" w:cs="Dubai" w:eastAsia="Dubai"/>
          <w:b w:val="0"/>
          <w:color w:val="1A1A1A"/>
          <w:sz w:val="20"/>
          <w:szCs w:val="20"/>
          <w:rtl/>
        </w:rPr>
        <w:t xml:space="preserve"> يدور على المجمعات: لكل يومٍ مجمعٌ يزوره فريقُك. والمنصةُ تضبط ذلك لك بضغطةٍ واحدة.</w:t>
      </w:r>
    </w:p>
    <w:tbl>
      <w:tblPr>
        <w:bidiVisual/>
        <w:tblW w:w="5000" w:type="pct"/>
        <w:jc w:val="center"/>
        <w:tblBorders>
          <w:top w:val="single" w:sz="8" w:space="0" w:color="2F7F95"/>
          <w:left w:val="single" w:sz="8" w:space="0" w:color="2F7F95"/>
          <w:bottom w:val="single" w:sz="8" w:space="0" w:color="2F7F95"/>
          <w:right w:val="single" w:sz="8" w:space="0" w:color="2F7F95"/>
          <w:insideH w:val="single" w:sz="2" w:space="0" w:color="2F7F95"/>
          <w:insideV w:val="single" w:sz="2" w:space="0" w:color="2F7F95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2F7F95"/>
            <w:vAlign w:val="center"/>
          </w:tcPr>
          <w:p>
            <w:pPr>
              <w:bidi/>
              <w:spacing w:before="0" w:after="0" w:line="264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20"/>
                <w:szCs w:val="20"/>
                <w:bCs/>
                <w:rtl/>
              </w:rPr>
              <w:t>قبل أن تبدئي — ثلاثٌ تخصّ الجميع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١.  افتحي الرابط — https://ahseyam.github.io/unified-lesson/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٢.  اختاري دورك — بطاقةٌ لكل دور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٣.  اكتبي رقمك الوظيفي — به تُعرف لا باسمك</w:t>
            </w:r>
          </w:p>
        </w:tc>
      </w:tr>
    </w:tbl>
    <w:p>
      <w:pPr>
        <w:bidi/>
        <w:spacing w:before="0" w:after="100"/>
      </w:pP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7F7F7F"/>
          <w:sz w:val="18"/>
          <w:szCs w:val="18"/>
          <w:rtl/>
        </w:rPr>
        <w:t>افتحي الرابط: تعمل على الجوال والحاسب واللوح بلا تنزيلِ تطبيق. واحفظيه في المفضّلة — فهو مرجعُك الوحيد، ولا تعتمد نسخةً مرسَلةً على ون درايف فتقدَم بك.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7F7F7F"/>
          <w:sz w:val="18"/>
          <w:szCs w:val="18"/>
          <w:rtl/>
        </w:rPr>
        <w:t>اختاري دورك: ولكلِّ دورٍ ما يخصُّه فقط: أزرارُه وشاشاتُه وتقاريرُه. فلا ترى ما ليس لك، ولا تضغط زرّاً يضيع به عملُ غيرك.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7F7F7F"/>
          <w:sz w:val="18"/>
          <w:szCs w:val="18"/>
          <w:rtl/>
        </w:rPr>
        <w:t>اكتبي رقمك الوظيفي: الأسماءُ تتشابه وتُكتب بصيغٍ شتّى فيظهر الشخصُ مرّتين في التقارير. فإن وُجد رقمُك في الكشف استُدعي اسمُك وتخصصُك تلقائياً.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Dubai" w:hAnsi="Dubai" w:cs="Dubai" w:eastAsia="Dubai"/>
          <w:b/>
          <w:color w:val="C00000"/>
          <w:sz w:val="22"/>
          <w:szCs w:val="22"/>
          <w:bCs/>
          <w:rtl/>
        </w:rPr>
        <w:t>❖  خطوةً خطوة — بالصور</w:t>
      </w:r>
      <w:r>
        <w:rPr>
          <w:rFonts w:ascii="Dubai Light" w:hAnsi="Dubai Light" w:cs="Dubai Light" w:eastAsia="Dubai Light"/>
          <w:b w:val="0"/>
          <w:color w:val="7F7F7F"/>
          <w:sz w:val="16"/>
          <w:szCs w:val="16"/>
          <w:rtl/>
        </w:rPr>
        <w:t xml:space="preserve">    كلُّ لقطةٍ مأخوذةٌ من المنصة نفسِها، لا رسماً ولا تخيّلاً</w:t>
      </w:r>
    </w:p>
    <w:p>
      <w:pPr>
        <w:keepNext/>
        <w:bidi/>
        <w:spacing w:before="4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١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ادخلي واختاري تخصصك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اختاري بطاقة «المشرفة التربوي المختص»، ثم تخصصك — ومنه يُعرف فريقُك.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وإن كان رقمُك في الكشف مُلئ تخصصُك تلقائياً.</w:t>
      </w:r>
    </w:p>
    <w:tbl>
      <w:tblPr>
        <w:bidiVisual/>
        <w:tblW w:w="5000" w:type="pct"/>
        <w:jc w:val="center"/>
        <w:tblBorders>
          <w:top w:val="single" w:sz="8" w:space="0" w:color="E6B8B8"/>
          <w:left w:val="single" w:sz="8" w:space="0" w:color="E6B8B8"/>
          <w:bottom w:val="single" w:sz="8" w:space="0" w:color="E6B8B8"/>
          <w:right w:val="single" w:sz="8" w:space="0" w:color="E6B8B8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C00000"/>
                <w:sz w:val="18"/>
                <w:szCs w:val="18"/>
                <w:bCs/>
                <w:rtl/>
              </w:rPr>
              <w:t>⛔  من كان تخصصُه «أخرى» في الكشف فليختره بنفسه — لا يُخمَّن له.</w:t>
            </w:r>
          </w:p>
        </w:tc>
      </w:tr>
    </w:tbl>
    <w:p>
      <w:pPr>
        <w:bidi/>
        <w:spacing w:before="0" w:after="80"/>
      </w:pP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3026308" cy="3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s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6308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٢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اضغطي «زيارتي اليوم»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زرٌّ واحدٌ تقرأ تاريخ اليوم فتضبط: الأسبوعَ من التقويم، واليومَ، والمجمعَ الذي يزوره فريقُك فيه.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فتظهر أمامك حصصُ تخصصك في ذلك المجمع وذلك اليوم وحدها.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ومرشّحا «التخصص» و«اليوم» فوقها لتوسّع أو تضيّق متى شئت.</w:t>
      </w:r>
    </w:p>
    <w:tbl>
      <w:tblPr>
        <w:bidiVisual/>
        <w:tblW w:w="5000" w:type="pct"/>
        <w:jc w:val="center"/>
        <w:tblBorders>
          <w:top w:val="single" w:sz="8" w:space="0" w:color="E6B8B8"/>
          <w:left w:val="single" w:sz="8" w:space="0" w:color="E6B8B8"/>
          <w:bottom w:val="single" w:sz="8" w:space="0" w:color="E6B8B8"/>
          <w:right w:val="single" w:sz="8" w:space="0" w:color="E6B8B8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C00000"/>
                <w:sz w:val="18"/>
                <w:szCs w:val="18"/>
                <w:bCs/>
                <w:rtl/>
              </w:rPr>
              <w:t>⛔  إن لم يكن اليومُ يومَ زيارةٍ لفريقك، انتقلي بك إلى أقرب يومٍ وأخبرك.</w:t>
            </w:r>
          </w:p>
        </w:tc>
      </w:tr>
    </w:tbl>
    <w:p>
      <w:pPr>
        <w:bidi/>
        <w:spacing w:before="0" w:after="80"/>
      </w:pP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34077" cy="3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gr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٣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راجعي خطة أسبوعك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«خطة زياراتي»: أيامُ الأسبوع ومجمعُ كلِّ يومٍ وحصصُ تخصصك فيه.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ومعها حالةُ التحضير لكل حصة — فتعرف قبل أن تذهب.</w:t>
      </w: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34077" cy="3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pl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٤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اعرفي دوران الفرق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«أين أزور — جدول المشرفات»: إلى أي مجمعٍ يذهب كلُّ فريقٍ في كل يومٍ من كل أسبوع.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وفريقُك مميَّزٌ فيه — فلا تخلط بينه وبين غيره.</w:t>
      </w: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34077" cy="39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r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٥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ارصدي واعتمدي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صفتُك «المشرفة المختصة» تُملأ من دورك تلقائياً.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املئي الاستمارةَ وبطاقةَ الإستراتيجية، ثم اعتمدي النتيجة إن اكتمل الرصد.</w:t>
      </w: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34077" cy="39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ob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407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Dubai" w:hAnsi="Dubai" w:cs="Dubai" w:eastAsia="Dubai"/>
          <w:b/>
          <w:color w:val="C00000"/>
          <w:sz w:val="22"/>
          <w:szCs w:val="22"/>
          <w:bCs/>
          <w:rtl/>
        </w:rPr>
        <w:t>❖  ما يقع فيه الخطأُ عادةً</w:t>
      </w:r>
      <w:r>
        <w:rPr>
          <w:rFonts w:ascii="Dubai Light" w:hAnsi="Dubai Light" w:cs="Dubai Light" w:eastAsia="Dubai Light"/>
          <w:b w:val="0"/>
          <w:color w:val="7F7F7F"/>
          <w:sz w:val="16"/>
          <w:szCs w:val="16"/>
          <w:rtl/>
        </w:rPr>
        <w:t xml:space="preserve">    قبل أن تسأل — أكثرُ ما يتكرّر</w:t>
      </w:r>
    </w:p>
    <w:tbl>
      <w:tblPr>
        <w:bidiVisual/>
        <w:tblW w:w="5000" w:type="pct"/>
        <w:jc w:val="center"/>
        <w:tblBorders>
          <w:top w:val="single" w:sz="12" w:space="0" w:color="355E91"/>
          <w:left w:val="single" w:sz="12" w:space="0" w:color="355E91"/>
          <w:bottom w:val="single" w:sz="12" w:space="0" w:color="355E91"/>
          <w:right w:val="single" w:sz="12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3628"/>
        <w:gridCol w:w="7142"/>
      </w:tblGrid>
      <w:tr>
        <w:trPr>
          <w:tblHeader/>
        </w:trPr>
        <w:tc>
          <w:tcPr>
            <w:tcW w:w="1684" w:type="pct"/>
            <w:shd w:val="clear" w:color="auto" w:fill="355E91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ما يحدث</w:t>
            </w:r>
          </w:p>
        </w:tc>
        <w:tc>
          <w:tcPr>
            <w:tcW w:w="3315" w:type="pct"/>
            <w:shd w:val="clear" w:color="auto" w:fill="355E91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السبب وما تفعلينه</w:t>
            </w:r>
          </w:p>
        </w:tc>
      </w:tr>
      <w:tr>
        <w:trPr>
          <w:cantSplit/>
        </w:trPr>
        <w:tc>
          <w:tcPr>
            <w:tcW w:w="1684" w:type="pct"/>
            <w:shd w:val="clear" w:color="auto" w:fill="F6F8FB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355E91"/>
                <w:sz w:val="18"/>
                <w:szCs w:val="18"/>
                <w:bCs/>
                <w:rtl/>
              </w:rPr>
              <w:t>أرى صفوفاً كثيرةً لا تعنيني</w:t>
            </w:r>
          </w:p>
        </w:tc>
        <w:tc>
          <w:tcPr>
            <w:tcW w:w="3315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اضبط مرشّح «التخصص» على تخصصك، ومرشّح «اليوم» على يوم زيارتك — أو اضغطي «زيارتي اليوم».</w:t>
            </w:r>
          </w:p>
        </w:tc>
      </w:tr>
      <w:tr>
        <w:trPr>
          <w:cantSplit/>
        </w:trPr>
        <w:tc>
          <w:tcPr>
            <w:tcW w:w="1684" w:type="pct"/>
            <w:shd w:val="clear" w:color="auto" w:fill="F6F8FB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355E91"/>
                <w:sz w:val="18"/>
                <w:szCs w:val="18"/>
                <w:bCs/>
                <w:rtl/>
              </w:rPr>
              <w:t>لا أرى «إسناد الزائرات»</w:t>
            </w:r>
          </w:p>
        </w:tc>
        <w:tc>
          <w:tcPr>
            <w:tcW w:w="3315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الإسنادُ للوكيلة التعليمية في كل مدرسة — وليس من نطاقك.</w:t>
            </w:r>
          </w:p>
        </w:tc>
      </w:tr>
    </w:tbl>
    <w:p>
      <w:pPr>
        <w:bidi/>
        <w:spacing w:before="0" w:after="120"/>
      </w:pP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Dubai" w:hAnsi="Dubai" w:cs="Dubai" w:eastAsia="Dubai"/>
          <w:b/>
          <w:color w:val="C00000"/>
          <w:sz w:val="22"/>
          <w:szCs w:val="22"/>
          <w:bCs/>
          <w:rtl/>
        </w:rPr>
        <w:t>❖  أسئلةٌ متكرّرة</w:t>
      </w:r>
    </w:p>
    <w:p>
      <w:pPr>
        <w:bidi/>
        <w:spacing w:before="40" w:after="2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س: </w:t>
      </w:r>
      <w:r>
        <w:rPr>
          <w:rFonts w:ascii="Dubai" w:hAnsi="Dubai" w:cs="Dubai" w:eastAsia="Dubai"/>
          <w:b/>
          <w:color w:val="355E91"/>
          <w:sz w:val="18"/>
          <w:szCs w:val="18"/>
          <w:bCs/>
          <w:rtl/>
        </w:rPr>
        <w:t>لي أكثرُ من تخصص — ماذا أفعل؟</w:t>
      </w:r>
    </w:p>
    <w:p>
      <w:pPr>
        <w:bidi/>
        <w:spacing w:before="0" w:after="60"/>
        <w:ind w:right="26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ج: </w:t>
      </w:r>
      <w:r>
        <w:rPr>
          <w:rFonts w:ascii="Dubai" w:hAnsi="Dubai" w:cs="Dubai" w:eastAsia="Dubai"/>
          <w:b w:val="0"/>
          <w:color w:val="1A1A1A"/>
          <w:sz w:val="18"/>
          <w:szCs w:val="18"/>
          <w:rtl/>
        </w:rPr>
        <w:t>مرشّحُ التخصص يُبدَّل في أي وقتٍ من الشاشة نفسِها بلا خروج.</w:t>
      </w:r>
    </w:p>
    <w:p>
      <w:pPr>
        <w:bidi/>
        <w:spacing w:before="40" w:after="2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س: </w:t>
      </w:r>
      <w:r>
        <w:rPr>
          <w:rFonts w:ascii="Dubai" w:hAnsi="Dubai" w:cs="Dubai" w:eastAsia="Dubai"/>
          <w:b/>
          <w:color w:val="355E91"/>
          <w:sz w:val="18"/>
          <w:szCs w:val="18"/>
          <w:bCs/>
          <w:rtl/>
        </w:rPr>
        <w:t>مشرفُ الهوية الوطنية في العالمي؟</w:t>
      </w:r>
    </w:p>
    <w:p>
      <w:pPr>
        <w:bidi/>
        <w:spacing w:before="0" w:after="60"/>
        <w:ind w:right="26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ج: </w:t>
      </w:r>
      <w:r>
        <w:rPr>
          <w:rFonts w:ascii="Dubai" w:hAnsi="Dubai" w:cs="Dubai" w:eastAsia="Dubai"/>
          <w:b w:val="0"/>
          <w:color w:val="1A1A1A"/>
          <w:sz w:val="18"/>
          <w:szCs w:val="18"/>
          <w:rtl/>
        </w:rPr>
        <w:t>له ثلاثُ مواد في اليوم نفسه والمجمع نفسه، والجدولُ يراعي ذلك تلقائياً.</w:t>
      </w:r>
    </w:p>
    <w:tbl>
      <w:tblPr>
        <w:bidiVisual/>
        <w:tblW w:w="5000" w:type="pct"/>
        <w:jc w:val="center"/>
        <w:tblBorders>
          <w:top w:val="single" w:sz="8" w:space="0" w:color="355E91"/>
          <w:left w:val="single" w:sz="8" w:space="0" w:color="355E91"/>
          <w:bottom w:val="single" w:sz="8" w:space="0" w:color="355E91"/>
          <w:right w:val="single" w:sz="8" w:space="0" w:color="355E91"/>
          <w:insideH w:val="single" w:sz="2" w:space="0" w:color="355E91"/>
          <w:insideV w:val="single" w:sz="2" w:space="0" w:color="355E91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355E91"/>
            <w:vAlign w:val="center"/>
          </w:tcPr>
          <w:p>
            <w:pPr>
              <w:bidi/>
              <w:spacing w:before="0" w:after="0" w:line="264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20"/>
                <w:szCs w:val="20"/>
                <w:bCs/>
                <w:rtl/>
              </w:rPr>
              <w:t>بمن تتصل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إن لم يظهر لك ما يخصُّك، أو ظهر لك ما ليس لك — راجعي إدارة التخطيط والاعتماد المدرسي.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وإن لم تُفتح الصفحة أصلاً — تأكّدي من الرابط أعلاه، ومن أنك متصلٌ بالشبكة.</w:t>
            </w:r>
          </w:p>
        </w:tc>
      </w:tr>
    </w:tbl>
    <w:p>
      <w:pPr>
        <w:bidi/>
        <w:spacing w:before="0" w:after="100"/>
      </w:pPr>
    </w:p>
    <w:p>
      <w:pPr>
        <w:bidi/>
        <w:spacing w:before="80" w:after="0"/>
        <w:jc w:val="center"/>
      </w:pPr>
      <w:r>
        <w:rPr>
          <w:rFonts w:ascii="Dubai" w:hAnsi="Dubai" w:cs="Dubai" w:eastAsia="Dubai"/>
          <w:b/>
          <w:color w:val="2F7F95"/>
          <w:sz w:val="19"/>
          <w:szCs w:val="19"/>
          <w:bCs/>
          <w:rtl w:val="0"/>
        </w:rPr>
        <w:t>https://ahseyam.github.io/unified-lesson/</w:t>
      </w:r>
    </w:p>
    <w:p>
      <w:pPr>
        <w:bidi/>
        <w:spacing w:before="0" w:after="0"/>
        <w:jc w:val="center"/>
      </w:pPr>
      <w:r>
        <w:rPr>
          <w:rFonts w:ascii="Dubai Light" w:hAnsi="Dubai Light" w:cs="Dubai Light" w:eastAsia="Dubai Light"/>
          <w:b w:val="0"/>
          <w:color w:val="7F7F7F"/>
          <w:sz w:val="16"/>
          <w:szCs w:val="16"/>
          <w:rtl/>
        </w:rPr>
        <w:t>إدارة التخطيط والاعتماد المدرسي  ·  أ. أحمد صيام</w:t>
      </w:r>
    </w:p>
    <w:sectPr w:rsidR="00FC693F" w:rsidRPr="0006063C" w:rsidSect="00034616">
      <w:headerReference w:type="default" r:id="rId9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Dubai" w:hAnsi="Dubai" w:cs="Dubai" w:eastAsia="Dubai"/>
        <w:b/>
        <w:color w:val="FFFFFF"/>
        <w:sz w:val="32"/>
        <w:szCs w:val="32"/>
        <w:bCs/>
        <w:rtl/>
      </w:rPr>
      <w:t>الحصة الموحَّدة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