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Complex Manager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complex manager, who follows every school in their complex</w:t>
      </w:r>
    </w:p>
    <w:p>
      <w:pPr>
        <w:spacing w:before="40" w:after="120"/>
      </w:pPr>
      <w:r>
        <w:rPr>
          <w:rFonts w:ascii="Helvetica Neue" w:hAnsi="Helvetica Neue" w:cs="Helvetica Neue" w:eastAsia="Helvetica Neue"/>
          <w:b w:val="0"/>
          <w:color w:val="1A1A1A"/>
          <w:sz w:val="20"/>
          <w:szCs w:val="20"/>
          <w:rtl w:val="0"/>
        </w:rPr>
        <w:t xml:space="preserve">Your scope is a </w:t>
      </w:r>
      <w:r>
        <w:rPr>
          <w:rFonts w:ascii="Helvetica Neue" w:hAnsi="Helvetica Neue" w:cs="Helvetica Neue" w:eastAsia="Helvetica Neue"/>
          <w:b/>
          <w:color w:val="1A1A1A"/>
          <w:sz w:val="20"/>
          <w:szCs w:val="20"/>
          <w:bCs/>
          <w:rtl w:val="0"/>
        </w:rPr>
        <w:t>whole complex</w:t>
      </w:r>
      <w:r>
        <w:rPr>
          <w:rFonts w:ascii="Helvetica Neue" w:hAnsi="Helvetica Neue" w:cs="Helvetica Neue" w:eastAsia="Helvetica Neue"/>
          <w:b w:val="0"/>
          <w:color w:val="1A1A1A"/>
          <w:sz w:val="20"/>
          <w:szCs w:val="20"/>
          <w:rtl w:val="0"/>
        </w:rPr>
        <w:t xml:space="preserve">, not a single school, and you observe </w:t>
      </w:r>
      <w:r>
        <w:rPr>
          <w:rFonts w:ascii="Helvetica Neue" w:hAnsi="Helvetica Neue" w:cs="Helvetica Neue" w:eastAsia="Helvetica Neue"/>
          <w:b/>
          <w:color w:val="1A1A1A"/>
          <w:sz w:val="20"/>
          <w:szCs w:val="20"/>
          <w:bCs/>
          <w:rtl w:val="0"/>
        </w:rPr>
        <w:t>any lesson in it</w:t>
      </w:r>
      <w:r>
        <w:rPr>
          <w:rFonts w:ascii="Helvetica Neue" w:hAnsi="Helvetica Neue" w:cs="Helvetica Neue" w:eastAsia="Helvetica Neue"/>
          <w:b w:val="0"/>
          <w:color w:val="1A1A1A"/>
          <w:sz w:val="20"/>
          <w:szCs w:val="20"/>
          <w:rtl w:val="0"/>
        </w:rPr>
        <w:t>: you have your own independent form with its own score and your name, which no other evaluator overwrites. The adopted score for a lesson is the average of those who scored it.</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and choose your complex</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“Complex manager” card, then the sector and the complex you manage.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scope is then fixed to it: you neither see another complex nor edit in it.</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The scope is fixed at sign-in and cannot be switched from the screen — whoever switched it saw the whole system.</w:t>
            </w:r>
          </w:p>
        </w:tc>
      </w:tr>
    </w:tbl>
    <w:p>
      <w:pPr>
        <w:spacing w:before="0" w:after="80"/>
      </w:pP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cx.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Read your complex's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schedule shows every lesson in your complex's schools: week, day, subject and teacher.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 do not edit a cell in it — scheduling belongs to the teacher and their deputy.</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c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Know what needs you first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“Lessons with no subject supervisor” report lists what has no supervisor in your complex.</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Start with these — no one but you and those with you observes them.</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And you observe the rest as well: the form opens for you on any lesson in your complex.</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c_gap.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Observe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Open the lesson; your capacity “Complex manager” is filled in from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Fill the form and the strategy card, then approve the result.</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Your form carries your name alone — and anyone who scored it with you appears beside you.</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c_obs.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Follow your complex through the reports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complex's reports: teachers and their results · subjects · the weakest indicators · and missing entries.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All of them are confined to your complex — so what you see concerns you.</w:t>
      </w:r>
    </w:p>
    <w:p>
      <w:pPr>
        <w:spacing w:before="40" w:after="80"/>
        <w:jc w:val="center"/>
      </w:pPr>
      <w:r>
        <w:drawing>
          <wp:inline xmlns:a="http://schemas.openxmlformats.org/drawingml/2006/main" xmlns:pic="http://schemas.openxmlformats.org/drawingml/2006/picture">
            <wp:extent cx="5934077" cy="3960000"/>
            <wp:docPr id="5" name="Picture 5"/>
            <wp:cNvGraphicFramePr>
              <a:graphicFrameLocks noChangeAspect="1"/>
            </wp:cNvGraphicFramePr>
            <a:graphic>
              <a:graphicData uri="http://schemas.openxmlformats.org/drawingml/2006/picture">
                <pic:pic>
                  <pic:nvPicPr>
                    <pic:cNvPr id="0" name="c_reports.png"/>
                    <pic:cNvPicPr/>
                  </pic:nvPicPr>
                  <pic:blipFill>
                    <a:blip r:embed="rId14"/>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A lesson I can see will not open its form</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It is outside your complex — observing belongs to whoever has the lesson in scope. Anything inside your complex does open for you.</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cannot edit a cell in the schedule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Scheduling belongs to the teacher giving the lesson and their deputy; you follow and observe.</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My complex has both boys' and girls' schools?</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Each sector has its own platform and its own store — you sign in to each separately.</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Who approves a result I recorded?</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You do — whoever observes approves. If someone scored it with you, the adopted score is the average of both.</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