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◆  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19"/>
          <w:szCs w:val="19"/>
          <w:rtl/>
        </w:rPr>
        <w:t xml:space="preserve">نموذج استرشادي معبَّأ · الكفايات اللغوية </w:t>
      </w:r>
      <w:r>
        <w:rPr>
          <w:rFonts w:ascii="Sakkal Majalla" w:hAnsi="Sakkal Majalla" w:cs="Sakkal Majalla" w:eastAsia="Sakkal Majalla"/>
          <w:b/>
          <w:color w:val="C00000"/>
          <w:sz w:val="23"/>
          <w:szCs w:val="23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19"/>
          <w:szCs w:val="19"/>
          <w:rtl/>
        </w:rPr>
        <w:t xml:space="preserve"> — أول ثانوي (مسارات)</w:t>
      </w: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  ◆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"/>
        <w:gridCol w:w="1644"/>
        <w:gridCol w:w="963"/>
        <w:gridCol w:w="1133"/>
        <w:gridCol w:w="1275"/>
        <w:gridCol w:w="1077"/>
        <w:gridCol w:w="1048"/>
        <w:gridCol w:w="793"/>
        <w:gridCol w:w="1247"/>
        <w:gridCol w:w="510"/>
      </w:tblGrid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اسم المعلم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المادة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الكفايات اللغوية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الصف/الشعبة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أول ثانوي /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التاريخ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الحصة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</w:t>
            </w:r>
          </w:p>
        </w:tc>
      </w:tr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موضوع الدرس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الجملة الاسمية ونواسخها</w:t>
            </w:r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رقم الدرس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من الوحدة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نسبة الإنجاز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٪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٧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زمن الحصة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٤٥</w:t>
            </w:r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عدد الطلاب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٣٠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التخطيط وتجهيز بيئة التعلم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١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السؤال الأساسي</w:t>
            </w:r>
          </w:p>
        </w:tc>
        <w:tc>
          <w:tcPr>
            <w:tcW w:w="4184" w:type="pct"/>
            <w:gridSpan w:val="6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كيف تغيّر كلمةٌ واحدة إعراب جملة كاملة؟ ولماذا سُمّيت النواسخ نواسخ؟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الوحدة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ركنا الجملة الاسمية؟ وما أنواع خبرها؟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يخدم ضبط النحو دقة المعنى في الكتابة؟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المحتوى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المبتدأ وما الخبر في: العلمُ نورٌ؟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ماذا يحدث للجملة إذا دخلت عليها «كان» ثم «إنّ»؟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أعرب: إنّ المجتهدَ محبوبٌ.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المعرفي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يحدد المبتدأ والخبر وأنواع الخبر في جمل معروضة.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يذكر عمل كان وأخواتها وإنّ وأخواتها في الجملة الاسمية.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المهاري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يعرب جملاً اسمية دخلت عليها النواسخ إعراباً صحيحاً.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يحوّل جملاً اسمية إلى منسوخة بكان أو إنّ مع ضبط أواخر الكلمات.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الوجداني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يقدّر دقة العربية في ربط الإعراب بالمعنى.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يحرص على سلامة لغته في كتابته وحديثه.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الاتجاه التدريسي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المشكلات والمشاريع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التعليم المتمايز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التفكير الناقد والإبداعي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التقويم من أجل التعلم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التقنية والذكاء الاصطناعي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القيم وبناء الشخصية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عرض الأهداف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السبورة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الشاشة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معلنة شفهياً في بداية الحصة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الإستراتيجية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تعلم تعاوني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استقصاء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مشروعات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مشكلات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لعب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مصادر التعلم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سمعي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بصري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حسّي/محسوسات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فيديو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مختبر افتراضي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Flash cards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أدوات مادية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داعمات البيئة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مصدر للقراءة والكتابة في الصف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مصدر أو محسوس للحساب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مقاعد مهيّأة للعمل التعاوني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أوراق العمل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فردية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زوجية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مجموعات تعاونية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مستويات متدرّجة</w:t>
            </w:r>
          </w:p>
        </w:tc>
      </w:tr>
    </w:tbl>
    <w:p>
      <w:pPr>
        <w:bidi/>
        <w:spacing w:before="0" w:after="0" w:line="80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  <w:gridCol w:w="2154"/>
        <w:gridCol w:w="2154"/>
        <w:gridCol w:w="2154"/>
      </w:tblGrid>
      <w:tr>
        <w:trPr>
          <w:cantSplit/>
          <w:trHeight w:val="249" w:hRule="atLeast"/>
        </w:trPr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التهيئة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التنفيذ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التقويم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الغلق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المجموع = زمن الحصة</w:t>
            </w:r>
          </w:p>
        </w:tc>
      </w:tr>
      <w:tr>
        <w:trPr>
          <w:cantSplit/>
          <w:trHeight w:val="283" w:hRule="atLeast"/>
        </w:trPr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٢٥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١٠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٤٥</w:t>
            </w:r>
          </w:p>
        </w:tc>
      </w:tr>
    </w:tbl>
    <w:p>
      <w:pPr>
        <w:bidi/>
        <w:spacing w:before="0" w:after="0" w:line="68" w:lineRule="exact"/>
      </w:pPr>
    </w:p>
    <w:p>
      <w:pPr>
        <w:spacing w:before="0" w:after="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5"/>
          <w:szCs w:val="15"/>
          <w:rtl/>
        </w:rPr>
        <w:t>ومن زمن التنفيذ — داخلَه لا يُضافان إليه: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</w:tblGrid>
      <w:tr>
        <w:trPr>
          <w:cantSplit/>
          <w:trHeight w:val="249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الأولى بالرعاية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الموهوبين</w:t>
            </w:r>
          </w:p>
        </w:tc>
      </w:tr>
      <w:tr>
        <w:trPr>
          <w:cantSplit/>
          <w:trHeight w:val="283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190"/>
        <w:gridCol w:w="3514"/>
        <w:gridCol w:w="3514"/>
        <w:gridCol w:w="2551"/>
      </w:tblGrid>
      <w:tr>
        <w:trPr>
          <w:cantSplit/>
          <w:trHeight w:val="260" w:hRule="atLeast"/>
        </w:trPr>
        <w:tc>
          <w:tcPr>
            <w:tcW w:w="5000" w:type="pct"/>
            <w:gridSpan w:val="4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المجالان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و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٣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العرض وإدارة الحصة · مشاركة المتعلمين واندماجهم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المجالان ٢ و٣</w:t>
            </w:r>
          </w:p>
        </w:tc>
      </w:tr>
      <w:tr>
        <w:trPr>
          <w:cantSplit/>
          <w:trHeight w:val="260" w:hRule="atLeast"/>
        </w:trPr>
        <w:tc>
          <w:tcPr>
            <w:tcW w:w="552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المرحلة</w:t>
            </w:r>
          </w:p>
        </w:tc>
        <w:tc>
          <w:tcPr>
            <w:tcW w:w="1631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ما يفعله المعلم</w:t>
            </w:r>
          </w:p>
        </w:tc>
        <w:tc>
          <w:tcPr>
            <w:tcW w:w="1631" w:type="pct"/>
            <w:shd w:val="clear" w:color="auto" w:fill="E2F0F3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6"/>
                <w:szCs w:val="16"/>
                <w:rtl/>
              </w:rPr>
              <w:t>ما يفعله المتعلم — فعلٌ يُرى</w:t>
            </w:r>
          </w:p>
        </w:tc>
        <w:tc>
          <w:tcPr>
            <w:tcW w:w="1184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نمط العمل وتقويمه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التهيئة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مدخل الحصة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يعرض لافتتين إحداهما فيها خطأ نحوي ويسأل: أيّهما أدقّ؟ ولماذا؟ ثم يعلن هدفي الحصة.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يحدد اللافتة الصحيحة، ويكتب في دفتره سبب اختياره بجملة واحدة.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الأول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١٨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ينمذج إعراب جملة اسمية ثم يدخل عليها كان وإنّ، ويوزّع بطاقات جمل على المجموعات ويتابع الضبط.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تصنّف المجموعة الجمل (اسمية/منسوخة)، ويعرب كل طالب جملة ويشرحها لمجموعته.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الثاني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١٧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يوزّع ورقة عمل بثلاثة مستويات: تحديد الركنين، ثم التحويل، ثم الإعراب الكامل، ويسلّم المهمة المكيَّفة والإثرائية.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يحلّ كل طالب مستواه فردياً، ويصوّب مع زميله بسلّم التقدير ويسجّل خطأه وتصويبه.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الغلق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علم بالقلم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يكتب جملة على السبورة ويطلب إعرابها شفهياً، ويستمع لثلاثة طلاب، ثم يحدد مهمة المنصة.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يكتب على بطاقة الخروج: جملة منسوخة من إنشائه · وإعراب كلمتين منها.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</w:tbl>
    <w:p>
      <w:pPr>
        <w:pageBreakBefore/>
        <w:bidi/>
        <w:spacing w:before="0" w:after="0" w:line="46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المجالان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و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٣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تابع: التمايز والتحفيز والربط بالحياة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المجالان ٢ و٣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المكيَّفة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للفئات الأولى بالرعاية — ما هي، ولمن، ومتى تُسلَّم: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بطاقة فيها ثلاث جمل اسمية قصيرة مضبوطة جزئياً مع جدول (مبتدأ/خبر) ومثال محلول — لخمسة طلاب في النشاط الأول.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الإثرائية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لسريعي التعلم والموهوبين — تنمّي تفكيراً أعلى لا مزيداً من التمارين: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اكتب فقرة من خمسة أسطر عن قيمة المسؤولية، وظّف فيها ثلاث جمل منسوخة بكان وإنّ، ثم أعرب اثنتين منها.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التحفيز والمشاركة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تعزيز لفظي محدد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منافسة/لعبة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احتفاء بالمنجز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توزيع الأدوار بالأسماء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أسئلة لمن لم يشارك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الربط بالحياة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مثال أو تطبيق من حياة الطلاب: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صياغة إعلان مدرسي دقيق · تصحيح لافتة فيها خطأ نحوي · كتابة خبر عن نشاط الصف.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٤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المهارات المستهدفة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٤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القراءة والكتابة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نص يقرؤه الطلاب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كتابة إجابة أو جملة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يقرأ الطالب فقرة من نص الوحدة ويستخرج منها جملتين اسميتين، ويكتب جملة منسوخة من إنشائه.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المهارات العددية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حساب ينفّذه الطلاب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قراءة بيانات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يحصي الطالب الجمل الاسمية والفعلية في فقرة معروضة، ويحسب نسبة كلٍّ منها.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مهارات التفكير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ناقد: تحليل · استنتاج · تقويم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إبداعي: طلاقة · مرونة · أصالة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مشكلات</w:t>
            </w:r>
          </w:p>
        </w:tc>
      </w:tr>
      <w:tr>
        <w:trPr>
          <w:cantSplit/>
          <w:trHeight w:val="51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نشاط التفكير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السؤال أو المهمة التي تنمّي التفكير: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جملتان: «الطالبُ مجتهدٌ» و«إنّ الطالبَ مجتهدٌ» — ما الذي أضافته «إنّ» إلى المعنى لا إلى الإعراب فقط؟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٥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التقنية والتعلم الإلكتروني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٥</w:t>
            </w:r>
          </w:p>
        </w:tc>
      </w:tr>
      <w:tr>
        <w:trPr>
          <w:cantSplit/>
          <w:trHeight w:val="26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أدوات التقييم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Kahoot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Nearpod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Socrative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Wordwall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Quizizz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توظيف التقنية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الأداة بيد الطالب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محتوى إلكتروني للدرس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سبورة ذكية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دعم من يتعثّر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على المنصة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اسم المنصة والمهمة المُسنَدة: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منصة مدرستي: تدريب «حوّل وأعرب» — عشر جمل تُسلَّم قبل الحصة القادمة.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٦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التقويم والتغذية الراجعة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٦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التشخيصي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سؤال أو نشاط قبلي يكشف المعرفة السابقة: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سؤال قبلي: اذكر جملة اسمية من عندك، وحدد ركنيها.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البنائي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بعد كل هدف — الأداة: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الهدف الأول: بطاقات (مبتدأ/خبر) على السبورات الصغيرة · بعد الهدف الثاني: إعراب سريع على السبورة الذكية.</w:t>
            </w:r>
          </w:p>
        </w:tc>
      </w:tr>
      <w:tr>
        <w:trPr>
          <w:cantSplit/>
          <w:trHeight w:val="396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الذاتي والأقران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الأداة أو المعيار: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سلّم تقدير: حددتُ الركنين · ضبطتُ الأواخر · علّلتُ الحكم الإعرابي.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التغذية الراجعة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اللحظة التي يوظّف فيها الطالب الملاحظة لتحسين عمله: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تدريب الإعراب: يصوّب الطالب حركة الإعراب التي أخطأ فيها بلون آخر، ويكتب سبب الخطأ.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التقييم الختامي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أعرب: كان الجوُّ صحواً.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حوّل إلى منسوخة بـ«إنّ»: الصدقُ منجاةٌ.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تفكير عليا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لماذا تنصب «إنّ» المبتدأ وترفع الخبر بعكس «كان»؟ استنتج القاعدة من الأمثلة.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س٤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يفسد المعنى إذا أخطأ الكاتب في ضبط خبر «كان»؟ اضرب مثالاً.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٧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بناء شخصية الطالب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٧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قيمة الأسبوع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وربطها بمحتوى الدرس: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الدقة: لا تُكتب جملة دون مراجعة ضبطها — تُربط بتصويب الإعراب في التغذية الراجعة.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التلخيص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SRKW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التلخيص الشفهي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علم بالقلم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خرائط المفاهيم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الغلق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التعبير أمام الزملاء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تمثيل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تقييم أقران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نقاشات ختامية</w:t>
            </w:r>
          </w:p>
        </w:tc>
      </w:tr>
    </w:tbl>
    <w:p>
      <w:pPr>
        <w:bidi/>
        <w:spacing w:before="40" w:after="60" w:line="228" w:lineRule="exact"/>
      </w:pP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>المجال ٨ (مهارات المعلم وقدراته) يُرصد في الزيارة ولا يُحضَّر.</w:t>
      </w: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 xml:space="preserve">     مصدر الدرس: الوحدة الأولى (الكفاية النحوية) — الجملة الاسمية والابتداء ونواسخه، من مقرر الكفايات اللغوية ١-١ للسنة الأولى المشتركة.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692"/>
        <w:gridCol w:w="2692"/>
        <w:gridCol w:w="2692"/>
        <w:gridCol w:w="2692"/>
      </w:tblGrid>
      <w:tr>
        <w:trPr>
          <w:cantSplit/>
          <w:trHeight w:val="249" w:hRule="atLeast"/>
        </w:trPr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توقيع المعلم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الوكيل التعليمي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المشرف المختص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مدير المدرسة</w:t>
            </w:r>
          </w:p>
        </w:tc>
      </w:tr>
      <w:tr>
        <w:trPr>
          <w:cantSplit/>
          <w:trHeight w:val="566" w:hRule="atLeast"/>
        </w:trPr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</w:tr>
    </w:tbl>
    <w:p>
      <w:pPr>
        <w:bidi/>
        <w:spacing w:before="0" w:after="0" w:line="22" w:lineRule="exact"/>
      </w:pPr>
      <w:r>
        <w:rPr>
          <w:rFonts w:ascii="Sakkal Majalla" w:hAnsi="Sakkal Majalla" w:cs="Sakkal Majalla" w:eastAsia="Sakkal Majalla"/>
          <w:b w:val="0"/>
          <w:sz w:val="2"/>
          <w:szCs w:val="2"/>
          <w:rtl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0" w:after="0"/>
      <w:jc w:val="center"/>
    </w:pPr>
    <w:r/>
    <w:r>
      <w:rPr>
        <w:rFonts w:ascii="Sakkal Majalla" w:hAnsi="Sakkal Majalla" w:cs="Sakkal Majalla" w:eastAsia="Sakkal Majalla"/>
        <w:b w:val="0"/>
        <w:color w:val="7F7F7F"/>
        <w:sz w:val="17"/>
        <w:szCs w:val="17"/>
        <w:rtl/>
      </w:rPr>
      <w:t xml:space="preserve">نموذج تحضير الحصة — مدارس ابن خلدون   ·   الوجه </w:t>
    </w:r>
    <w:fldSimple w:instr=" PAGE ">
      <w:r>
        <w:rPr>
          <w:rFonts w:ascii="Dubai" w:hAnsi="Dubai" w:cs="Dubai"/>
          <w:sz w:val="14"/>
          <w:szCs w:val="14"/>
          <w:color w:val="7F7F7F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نموذج تحضير الحصة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