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Helvetica Neue" w:hAnsi="Helvetica Neue" w:cs="Helvetica Neue" w:eastAsia="Helvetica Neue"/>
          <w:b w:val="0"/>
          <w:color w:val="C00000"/>
          <w:sz w:val="14"/>
          <w:szCs w:val="14"/>
          <w:rtl w:val="0"/>
        </w:rPr>
        <w:t xml:space="preserve">◆  </w:t>
      </w:r>
      <w:r>
        <w:rPr>
          <w:rFonts w:ascii="Helvetica Neue" w:hAnsi="Helvetica Neue" w:cs="Helvetica Neue" w:eastAsia="Helvetica Neue"/>
          <w:b/>
          <w:color w:val="C00000"/>
          <w:sz w:val="26"/>
          <w:szCs w:val="26"/>
          <w:bCs/>
          <w:rtl w:val="0"/>
        </w:rPr>
        <w:t>Platform User Guide — Internal Evaluation Follow-up Team</w:t>
      </w:r>
      <w:r>
        <w:rPr>
          <w:rFonts w:ascii="Helvetica Neue" w:hAnsi="Helvetica Neue" w:cs="Helvetica Neue" w:eastAsia="Helvetica Neue"/>
          <w:b w:val="0"/>
          <w:color w:val="C00000"/>
          <w:sz w:val="14"/>
          <w:szCs w:val="14"/>
          <w:rtl w:val="0"/>
        </w:rPr>
        <w:t xml:space="preserve">  ◆</w:t>
      </w:r>
    </w:p>
    <w:p>
      <w:pPr>
        <w:spacing w:before="0" w:after="120"/>
        <w:jc w:val="center"/>
      </w:pPr>
      <w:r>
        <w:rPr>
          <w:rFonts w:ascii="Helvetica Neue" w:hAnsi="Helvetica Neue" w:cs="Helvetica Neue" w:eastAsia="Helvetica Neue"/>
          <w:b/>
          <w:color w:val="355E91"/>
          <w:sz w:val="19"/>
          <w:szCs w:val="19"/>
          <w:bCs/>
          <w:rtl w:val="0"/>
        </w:rPr>
        <w:t>For: two members of the central administration who follow up but do not observe</w:t>
      </w:r>
    </w:p>
    <w:p>
      <w:pPr>
        <w:spacing w:before="40" w:after="120"/>
      </w:pPr>
      <w:r>
        <w:rPr>
          <w:rFonts w:ascii="Helvetica Neue" w:hAnsi="Helvetica Neue" w:cs="Helvetica Neue" w:eastAsia="Helvetica Neue"/>
          <w:b w:val="0"/>
          <w:color w:val="1A1A1A"/>
          <w:sz w:val="20"/>
          <w:szCs w:val="20"/>
          <w:rtl w:val="0"/>
        </w:rPr>
        <w:t xml:space="preserve">Your role is </w:t>
      </w:r>
      <w:r>
        <w:rPr>
          <w:rFonts w:ascii="Helvetica Neue" w:hAnsi="Helvetica Neue" w:cs="Helvetica Neue" w:eastAsia="Helvetica Neue"/>
          <w:b/>
          <w:color w:val="1A1A1A"/>
          <w:sz w:val="20"/>
          <w:szCs w:val="20"/>
          <w:bCs/>
          <w:rtl w:val="0"/>
        </w:rPr>
        <w:t>follow-up, not observation</w:t>
      </w:r>
      <w:r>
        <w:rPr>
          <w:rFonts w:ascii="Helvetica Neue" w:hAnsi="Helvetica Neue" w:cs="Helvetica Neue" w:eastAsia="Helvetica Neue"/>
          <w:b w:val="0"/>
          <w:color w:val="1A1A1A"/>
          <w:sz w:val="20"/>
          <w:szCs w:val="20"/>
          <w:rtl w:val="0"/>
        </w:rPr>
        <w:t>: you review the lessons whose subject has no supervisor and make sure no one has been forgotten, and you write your comment — and no form opens for you. That is deliberate: whoever follows up is not whoever rates.</w:t>
      </w:r>
    </w:p>
    <w:tbl>
      <w:tblPr>
        <w:bidiVisual/>
        <w:tblW w:w="5000" w:type="pct"/>
        <w:jc w:val="center"/>
        <w:tblBorders>
          <w:top w:val="single" w:sz="8" w:space="0" w:color="2F7F95"/>
          <w:left w:val="single" w:sz="8" w:space="0" w:color="2F7F95"/>
          <w:bottom w:val="single" w:sz="8" w:space="0" w:color="2F7F95"/>
          <w:right w:val="single" w:sz="8" w:space="0" w:color="2F7F95"/>
          <w:insideH w:val="single" w:sz="2" w:space="0" w:color="2F7F95"/>
          <w:insideV w:val="single" w:sz="2" w:space="0" w:color="2F7F95"/>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2F7F95"/>
            <w:vAlign w:val="center"/>
          </w:tcPr>
          <w:p>
            <w:pPr>
              <w:spacing w:before="0" w:after="0" w:line="264" w:lineRule="exact"/>
            </w:pPr>
            <w:r/>
            <w:r>
              <w:rPr>
                <w:rFonts w:ascii="Helvetica Neue" w:hAnsi="Helvetica Neue" w:cs="Helvetica Neue" w:eastAsia="Helvetica Neue"/>
                <w:b/>
                <w:color w:val="FFFFFF"/>
                <w:sz w:val="20"/>
                <w:szCs w:val="20"/>
                <w:bCs/>
                <w:rtl w:val="0"/>
              </w:rPr>
              <w:t>Before you start — four things that concern everyone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1.  Open the link — https://ahseyam.github.io/unified-lesson/</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2.  Switch to English — the EN button, top right</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3.  Choose your role — one card per role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4.  Enter your staff number — you are identified by it, not by your name</w:t>
            </w:r>
          </w:p>
        </w:tc>
      </w:tr>
    </w:tbl>
    <w:p>
      <w:pPr>
        <w:spacing w:before="0" w:after="100"/>
      </w:pP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Open the link: It runs on phone, laptop and tablet with nothing to install. Bookmark it — it is your single reference; do not rely on a copy someone sends you, or you will be working from yesterday's data.</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Switch to English: Press it once and the choice is remembered on your device. Arabic is the default for everyone, so nothing changes for your Arabic-speaking colleagues. You may enter your own text in English or Arabic — both are kept as typed.</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Choose your role: Each role sees only what concerns it: its own buttons, screens and reports. You will not see what is not yours, and you cannot press a button that destroys someone else's work.</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Enter your staff number: Names repeat and are spelled in different ways, so the same person appears twice in the reports. If your number is on the roster, your name and subject are filled in for you.</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Step by step — with pictures</w:t>
      </w:r>
      <w:r>
        <w:rPr>
          <w:rFonts w:ascii="Helvetica Neue" w:hAnsi="Helvetica Neue" w:cs="Helvetica Neue" w:eastAsia="Helvetica Neue"/>
          <w:b w:val="0"/>
          <w:color w:val="7F7F7F"/>
          <w:sz w:val="16"/>
          <w:szCs w:val="16"/>
          <w:rtl w:val="0"/>
        </w:rPr>
        <w:t xml:space="preserve">    every screenshot is taken from the platform itself, not drawn or imagined</w:t>
      </w:r>
    </w:p>
    <w:p>
      <w:pPr>
        <w:keepNext/>
        <w:spacing w:before="40" w:after="40"/>
      </w:pPr>
      <w:r>
        <w:rPr>
          <w:rFonts w:ascii="Helvetica Neue" w:hAnsi="Helvetica Neue" w:cs="Helvetica Neue" w:eastAsia="Helvetica Neue"/>
          <w:b/>
          <w:color w:val="2F7F95"/>
          <w:sz w:val="26"/>
          <w:szCs w:val="26"/>
          <w:bCs/>
          <w:rtl w:val="0"/>
        </w:rPr>
        <w:t>1</w:t>
      </w:r>
      <w:r>
        <w:rPr>
          <w:rFonts w:ascii="Helvetica Neue" w:hAnsi="Helvetica Neue" w:cs="Helvetica Neue" w:eastAsia="Helvetica Neue"/>
          <w:b/>
          <w:color w:val="355E91"/>
          <w:sz w:val="22"/>
          <w:szCs w:val="22"/>
          <w:bCs/>
          <w:rtl w:val="0"/>
        </w:rPr>
        <w:t xml:space="preserve">  Sign in with your role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Choose the “Internal evaluation follow-up team” card — it is the last of them.</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You are asked for neither a subject nor a complex: your scope is the whole system.</w:t>
      </w:r>
    </w:p>
    <w:p>
      <w:pPr>
        <w:spacing w:before="40" w:after="80"/>
        <w:jc w:val="center"/>
      </w:pPr>
      <w:r>
        <w:drawing>
          <wp:inline xmlns:a="http://schemas.openxmlformats.org/drawingml/2006/main" xmlns:pic="http://schemas.openxmlformats.org/drawingml/2006/picture">
            <wp:extent cx="3026308" cy="3960000"/>
            <wp:docPr id="1" name="Picture 1"/>
            <wp:cNvGraphicFramePr>
              <a:graphicFrameLocks noChangeAspect="1"/>
            </wp:cNvGraphicFramePr>
            <a:graphic>
              <a:graphicData uri="http://schemas.openxmlformats.org/drawingml/2006/picture">
                <pic:pic>
                  <pic:nvPicPr>
                    <pic:cNvPr id="0" name="login_iq.png"/>
                    <pic:cNvPicPr/>
                  </pic:nvPicPr>
                  <pic:blipFill>
                    <a:blip r:embed="rId10"/>
                    <a:stretch>
                      <a:fillRect/>
                    </a:stretch>
                  </pic:blipFill>
                  <pic:spPr>
                    <a:xfrm>
                      <a:off x="0" y="0"/>
                      <a:ext cx="3026308"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2</w:t>
      </w:r>
      <w:r>
        <w:rPr>
          <w:rFonts w:ascii="Helvetica Neue" w:hAnsi="Helvetica Neue" w:cs="Helvetica Neue" w:eastAsia="Helvetica Neue"/>
          <w:b/>
          <w:color w:val="355E91"/>
          <w:sz w:val="22"/>
          <w:szCs w:val="22"/>
          <w:bCs/>
          <w:rtl w:val="0"/>
        </w:rPr>
        <w:t xml:space="preserve">  Read the schedule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You see every lesson in the system: both sectors, the complexes and the schools.</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No cell is edited — following up is reading, not writing.</w:t>
      </w:r>
    </w:p>
    <w:p>
      <w:pPr>
        <w:spacing w:before="40" w:after="80"/>
        <w:jc w:val="center"/>
      </w:pPr>
      <w:r>
        <w:drawing>
          <wp:inline xmlns:a="http://schemas.openxmlformats.org/drawingml/2006/main" xmlns:pic="http://schemas.openxmlformats.org/drawingml/2006/picture">
            <wp:extent cx="5934077" cy="3960000"/>
            <wp:docPr id="2" name="Picture 2"/>
            <wp:cNvGraphicFramePr>
              <a:graphicFrameLocks noChangeAspect="1"/>
            </wp:cNvGraphicFramePr>
            <a:graphic>
              <a:graphicData uri="http://schemas.openxmlformats.org/drawingml/2006/picture">
                <pic:pic>
                  <pic:nvPicPr>
                    <pic:cNvPr id="0" name="q_grid.png"/>
                    <pic:cNvPicPr/>
                  </pic:nvPicPr>
                  <pic:blipFill>
                    <a:blip r:embed="rId11"/>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3</w:t>
      </w:r>
      <w:r>
        <w:rPr>
          <w:rFonts w:ascii="Helvetica Neue" w:hAnsi="Helvetica Neue" w:cs="Helvetica Neue" w:eastAsia="Helvetica Neue"/>
          <w:b/>
          <w:color w:val="355E91"/>
          <w:sz w:val="22"/>
          <w:szCs w:val="22"/>
          <w:bCs/>
          <w:rtl w:val="0"/>
        </w:rPr>
        <w:t xml:space="preserve">  Follow what has no supervisor</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“Lessons with no subject supervisor” report is your first task: who observes them, and whether they have been observed.</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If one remains with no observer, you alert the deputy or the complex manager.</w:t>
      </w:r>
    </w:p>
    <w:p>
      <w:pPr>
        <w:spacing w:before="40" w:after="80"/>
        <w:jc w:val="center"/>
      </w:pPr>
      <w:r>
        <w:drawing>
          <wp:inline xmlns:a="http://schemas.openxmlformats.org/drawingml/2006/main" xmlns:pic="http://schemas.openxmlformats.org/drawingml/2006/picture">
            <wp:extent cx="6051733" cy="3960000"/>
            <wp:docPr id="3" name="Picture 3"/>
            <wp:cNvGraphicFramePr>
              <a:graphicFrameLocks noChangeAspect="1"/>
            </wp:cNvGraphicFramePr>
            <a:graphic>
              <a:graphicData uri="http://schemas.openxmlformats.org/drawingml/2006/picture">
                <pic:pic>
                  <pic:nvPicPr>
                    <pic:cNvPr id="0" name="q_gap.png"/>
                    <pic:cNvPicPr/>
                  </pic:nvPicPr>
                  <pic:blipFill>
                    <a:blip r:embed="rId12"/>
                    <a:stretch>
                      <a:fillRect/>
                    </a:stretch>
                  </pic:blipFill>
                  <pic:spPr>
                    <a:xfrm>
                      <a:off x="0" y="0"/>
                      <a:ext cx="6051733"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4</w:t>
      </w:r>
      <w:r>
        <w:rPr>
          <w:rFonts w:ascii="Helvetica Neue" w:hAnsi="Helvetica Neue" w:cs="Helvetica Neue" w:eastAsia="Helvetica Neue"/>
          <w:b/>
          <w:color w:val="355E91"/>
          <w:sz w:val="22"/>
          <w:szCs w:val="22"/>
          <w:bCs/>
          <w:rtl w:val="0"/>
        </w:rPr>
        <w:t xml:space="preserve">  Write your comment</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Under “After the lesson” there is a review-and-comment card where you write what you see.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Your comment is saved in your name and is seen by whoever opens the lesson.</w:t>
      </w:r>
    </w:p>
    <w:tbl>
      <w:tblPr>
        <w:bidiVisual/>
        <w:tblW w:w="5000" w:type="pct"/>
        <w:jc w:val="center"/>
        <w:tblBorders>
          <w:top w:val="single" w:sz="8" w:space="0" w:color="E6B8B8"/>
          <w:left w:val="single" w:sz="8" w:space="0" w:color="E6B8B8"/>
          <w:bottom w:val="single" w:sz="8" w:space="0" w:color="E6B8B8"/>
          <w:right w:val="single" w:sz="8" w:space="0" w:color="E6B8B8"/>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10771"/>
      </w:tblGrid>
      <w:tr>
        <w:trPr>
          <w:cantSplit/>
        </w:trPr>
        <w:tc>
          <w:tcPr>
            <w:tcW w:w="5000" w:type="pct"/>
            <w:shd w:val="clear" w:color="auto" w:fill="FDF3F3"/>
            <w:vAlign w:val="center"/>
          </w:tcPr>
          <w:p>
            <w:pPr>
              <w:spacing w:before="0" w:after="0" w:line="242" w:lineRule="exact"/>
            </w:pPr>
            <w:r/>
            <w:r>
              <w:rPr>
                <w:rFonts w:ascii="Helvetica Neue" w:hAnsi="Helvetica Neue" w:cs="Helvetica Neue" w:eastAsia="Helvetica Neue"/>
                <w:b/>
                <w:color w:val="C00000"/>
                <w:sz w:val="18"/>
                <w:szCs w:val="18"/>
                <w:bCs/>
                <w:rtl w:val="0"/>
              </w:rPr>
              <w:t>⛔  No form opens for you — and that is correct, not a fault in the platform.</w:t>
            </w:r>
          </w:p>
        </w:tc>
      </w:tr>
    </w:tbl>
    <w:p>
      <w:pPr>
        <w:spacing w:before="0" w:after="80"/>
      </w:pPr>
    </w:p>
    <w:p>
      <w:pPr>
        <w:spacing w:before="40" w:after="80"/>
        <w:jc w:val="center"/>
      </w:pPr>
      <w:r>
        <w:drawing>
          <wp:inline xmlns:a="http://schemas.openxmlformats.org/drawingml/2006/main" xmlns:pic="http://schemas.openxmlformats.org/drawingml/2006/picture">
            <wp:extent cx="5934077" cy="3960000"/>
            <wp:docPr id="4" name="Picture 4"/>
            <wp:cNvGraphicFramePr>
              <a:graphicFrameLocks noChangeAspect="1"/>
            </wp:cNvGraphicFramePr>
            <a:graphic>
              <a:graphicData uri="http://schemas.openxmlformats.org/drawingml/2006/picture">
                <pic:pic>
                  <pic:nvPicPr>
                    <pic:cNvPr id="0" name="q_note.png"/>
                    <pic:cNvPicPr/>
                  </pic:nvPicPr>
                  <pic:blipFill>
                    <a:blip r:embed="rId13"/>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Where things usually go wrong</w:t>
      </w:r>
      <w:r>
        <w:rPr>
          <w:rFonts w:ascii="Helvetica Neue" w:hAnsi="Helvetica Neue" w:cs="Helvetica Neue" w:eastAsia="Helvetica Neue"/>
          <w:b w:val="0"/>
          <w:color w:val="7F7F7F"/>
          <w:sz w:val="16"/>
          <w:szCs w:val="16"/>
          <w:rtl w:val="0"/>
        </w:rPr>
        <w:t xml:space="preserve">    before you ask — the most common cases</w:t>
      </w:r>
    </w:p>
    <w:tbl>
      <w:tblPr>
        <w:bidiVisual/>
        <w:tblW w:w="5000" w:type="pct"/>
        <w:jc w:val="center"/>
        <w:tblBorders>
          <w:top w:val="single" w:sz="12" w:space="0" w:color="355E91"/>
          <w:left w:val="single" w:sz="12" w:space="0" w:color="355E91"/>
          <w:bottom w:val="single" w:sz="12" w:space="0" w:color="355E91"/>
          <w:right w:val="single" w:sz="12" w:space="0" w:color="355E91"/>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3628"/>
        <w:gridCol w:w="7142"/>
      </w:tblGrid>
      <w:tr>
        <w:trPr>
          <w:tblHeader/>
        </w:trPr>
        <w:tc>
          <w:tcPr>
            <w:tcW w:w="1684"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What happens</w:t>
            </w:r>
          </w:p>
        </w:tc>
        <w:tc>
          <w:tcPr>
            <w:tcW w:w="3315"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Why, and what to do</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Where is the form?</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It does not open for you by the meeting's decision: observation belongs to the subject supervisor, or to the supporting team where there is none. You follow up.</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I see every lesson in the system — is that right?</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Yes: your scope is the whole system, unlike the complex manager who is confined to theirs.</w:t>
            </w:r>
          </w:p>
        </w:tc>
      </w:tr>
    </w:tbl>
    <w:p>
      <w:pPr>
        <w:spacing w:before="0" w:after="120"/>
      </w:pP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Frequently asked</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Does our follow-up count towards the lesson average?</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No — a comment carries no mark, so it enters no average.</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How do we know what is late?</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The “Missing entries” report measures the schedule against the teacher roster and names whoever has not registered yet.</w:t>
      </w:r>
    </w:p>
    <w:tbl>
      <w:tblPr>
        <w:bidiVisual/>
        <w:tblW w:w="5000" w:type="pct"/>
        <w:jc w:val="center"/>
        <w:tblBorders>
          <w:top w:val="single" w:sz="8" w:space="0" w:color="355E91"/>
          <w:left w:val="single" w:sz="8" w:space="0" w:color="355E91"/>
          <w:bottom w:val="single" w:sz="8" w:space="0" w:color="355E91"/>
          <w:right w:val="single" w:sz="8" w:space="0" w:color="355E91"/>
          <w:insideH w:val="single" w:sz="2" w:space="0" w:color="355E91"/>
          <w:insideV w:val="single" w:sz="2" w:space="0" w:color="355E91"/>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355E91"/>
            <w:vAlign w:val="center"/>
          </w:tcPr>
          <w:p>
            <w:pPr>
              <w:spacing w:before="0" w:after="0" w:line="264" w:lineRule="exact"/>
            </w:pPr>
            <w:r/>
            <w:r>
              <w:rPr>
                <w:rFonts w:ascii="Helvetica Neue" w:hAnsi="Helvetica Neue" w:cs="Helvetica Neue" w:eastAsia="Helvetica Neue"/>
                <w:b/>
                <w:color w:val="FFFFFF"/>
                <w:sz w:val="20"/>
                <w:szCs w:val="20"/>
                <w:bCs/>
                <w:rtl w:val="0"/>
              </w:rPr>
              <w:t>Who to contact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what concerns you does not appear, or something that is not yours does — contact the Planning and School Accreditation Department.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the page does not open at all — check the link above and your connection.</w:t>
            </w:r>
          </w:p>
        </w:tc>
      </w:tr>
    </w:tbl>
    <w:p>
      <w:pPr>
        <w:spacing w:before="0" w:after="100"/>
      </w:pPr>
    </w:p>
    <w:p>
      <w:pPr>
        <w:spacing w:before="80" w:after="0"/>
        <w:jc w:val="center"/>
      </w:pPr>
      <w:r>
        <w:rPr>
          <w:rFonts w:ascii="Helvetica Neue" w:hAnsi="Helvetica Neue" w:cs="Helvetica Neue" w:eastAsia="Helvetica Neue"/>
          <w:b/>
          <w:color w:val="2F7F95"/>
          <w:sz w:val="19"/>
          <w:szCs w:val="19"/>
          <w:bCs/>
          <w:rtl w:val="0"/>
        </w:rPr>
        <w:t>https://ahseyam.github.io/unified-lesson/</w:t>
      </w:r>
    </w:p>
    <w:p>
      <w:pPr>
        <w:spacing w:before="0" w:after="0"/>
        <w:jc w:val="center"/>
      </w:pPr>
      <w:r>
        <w:rPr>
          <w:rFonts w:ascii="Helvetica Neue" w:hAnsi="Helvetica Neue" w:cs="Helvetica Neue" w:eastAsia="Helvetica Neue"/>
          <w:b w:val="0"/>
          <w:color w:val="7F7F7F"/>
          <w:sz w:val="16"/>
          <w:szCs w:val="16"/>
          <w:rtl w:val="0"/>
        </w:rPr>
        <w:t>Planning and School Accreditation Department  ·  Ahmed Seyam</w:t>
      </w:r>
    </w:p>
    <w:sectPr w:rsidR="00FC693F" w:rsidRPr="0006063C" w:rsidSect="00034616">
      <w:headerReference w:type="default" r:id="rId9"/>
      <w:pgSz w:w="11906" w:h="16838"/>
      <w:pgMar w:top="1616" w:right="567" w:bottom="1531" w:left="567" w:header="113" w:footer="90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Pr>
    <w: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klisha"/>
          <wp:cNvGraphicFramePr/>
          <a:graphic xmlns:a="http://schemas.openxmlformats.org/drawingml/2006/main" xmlns:pic="http://schemas.openxmlformats.org/drawingml/2006/picture">
            <a:graphicData uri="http://schemas.openxmlformats.org/drawingml/2006/picture">
              <pic:pic>
                <pic:nvPicPr>
                  <pic:cNvPr id="0" name="kl_portrait.jpg"/>
                  <pic:cNvPicPr/>
                </pic:nvPicPr>
                <pic:blipFill>
                  <a:blip r:embed="rId1"/>
                  <a:stretch>
                    <a:fillRect/>
                  </a:stretch>
                </pic:blipFill>
                <pic:spPr>
                  <a:xfrm>
                    <a:off x="0" y="0"/>
                    <a:ext cx="7560000" cy="10692000"/>
                  </a:xfrm>
                  <a:prstGeom prst="rect"/>
                </pic:spPr>
              </pic:pic>
            </a:graphicData>
          </a:graphic>
        </wp:anchor>
      </w:drawing>
    </w:r>
  </w:p>
  <w:p>
    <w:pPr>
      <w:framePr w:w="4450" w:h="556" w:hRule="exact" w:x="7228" w:y="578" w:hAnchor="page" w:vAnchor="page" w:wrap="notBeside"/>
      <w:spacing w:before="77" w:after="0" w:line="400" w:lineRule="exact"/>
      <w:jc w:val="center"/>
    </w:pPr>
    <w:r>
      <w:rPr>
        <w:rFonts w:ascii="Helvetica Neue" w:hAnsi="Helvetica Neue" w:cs="Helvetica Neue" w:eastAsia="Helvetica Neue"/>
        <w:b/>
        <w:color w:val="FFFFFF"/>
        <w:sz w:val="32"/>
        <w:szCs w:val="32"/>
        <w:bCs/>
        <w:rtl w:val="0"/>
      </w:rPr>
      <w:t>Unified Lesson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bidi/>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eastAsia="Dubai"/>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