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Bdr>
          <w:bottom w:val="single" w:sz="6" w:space="1" w:color="C00000"/>
        </w:pBdr>
        <w:bidi/>
        <w:spacing w:before="0" w:after="40"/>
      </w:pPr>
      <w:r>
        <w:rPr>
          <w:rFonts w:ascii="Al-Jazeera-Arabic-Bold" w:hAnsi="Al-Jazeera-Arabic-Bold" w:cs="Al-Jazeera-Arabic-Bold" w:eastAsia="Al-Jazeera-Arabic-Bold"/>
          <w:b w:val="0"/>
          <w:color w:val="C00000"/>
          <w:sz w:val="21"/>
          <w:szCs w:val="21"/>
          <w:rtl/>
        </w:rPr>
        <w:t>❖  غاية الخطة</w:t>
      </w:r>
    </w:p>
    <w:p>
      <w:pPr>
        <w:bidi/>
        <w:spacing w:before="0" w:after="60" w:line="272" w:lineRule="exact"/>
        <w:jc w:val="both"/>
      </w:pPr>
      <w:r>
        <w:rPr>
          <w:rFonts w:ascii="Sakkal Majalla" w:hAnsi="Sakkal Majalla" w:cs="Sakkal Majalla" w:eastAsia="Sakkal Majalla"/>
          <w:b w:val="0"/>
          <w:sz w:val="22"/>
          <w:szCs w:val="22"/>
          <w:rtl/>
        </w:rPr>
        <w:t>قد يصل فريق التقويم الخارجي في أي وقت بعد ثلاثة أسابيع، فيحضر سبع عشرة حصة على الأقل، ويرصد نمط المدرسة لا حصة بعينها، ويكشف الحصة المُعدّة للزيارة من ارتباك الطالبات في روتين لم يعتدنه. لذلك رُتّبت المؤشرات الخمسون بحسب أثرها: ما يُرى في كل حصة ويُصلَح سريعاً في الأسبوع الأول، وما يحتاج تدريباً في الثاني، والمشاركة والتقنية ومحاكاة الزيارة في الثالث. والأسابيع تراكمية: ما أُنجز في أسبوع يبقى مرصوداً فيما بعده.</w:t>
      </w:r>
    </w:p>
    <w:p>
      <w:pPr>
        <w:keepNext/>
        <w:shd w:val="clear" w:color="auto" w:fill="355E91"/>
        <w:bidi/>
        <w:spacing w:before="120" w:after="20"/>
        <w:ind w:left="70" w:right="70"/>
      </w:pPr>
      <w:r>
        <w:rPr>
          <w:rFonts w:ascii="Al-Jazeera-Arabic-Bold" w:hAnsi="Al-Jazeera-Arabic-Bold" w:cs="Al-Jazeera-Arabic-Bold" w:eastAsia="Al-Jazeera-Arabic-Bold"/>
          <w:b w:val="0"/>
          <w:color w:val="FFFFFF"/>
          <w:sz w:val="20"/>
          <w:szCs w:val="20"/>
          <w:rtl/>
        </w:rPr>
        <w:t>الأسبوع الأول — الأساس المرئي في كل حصة</w:t>
      </w:r>
      <w:r>
        <w:rPr>
          <w:rFonts w:ascii="Sakkal Majalla" w:hAnsi="Sakkal Majalla" w:cs="Sakkal Majalla" w:eastAsia="Sakkal Majalla"/>
          <w:b w:val="0"/>
          <w:color w:val="DCE6F1"/>
          <w:sz w:val="19"/>
          <w:szCs w:val="19"/>
          <w:rtl/>
        </w:rPr>
        <w:t xml:space="preserve">     ١٤ مؤشراً · فقرات الهيئة: ٢ · ٣ · ٤ · ٥ · ٩ · ١٣ · ١٥ · ١٧</w:t>
      </w:r>
    </w:p>
    <w:p>
      <w:pPr>
        <w:bidi/>
        <w:spacing w:before="0" w:after="40" w:line="264" w:lineRule="exact"/>
        <w:jc w:val="both"/>
      </w:pPr>
      <w:r>
        <w:rPr>
          <w:rFonts w:ascii="Al-Jazeera-Arabic-Bold" w:hAnsi="Al-Jazeera-Arabic-Bold" w:cs="Al-Jazeera-Arabic-Bold" w:eastAsia="Al-Jazeera-Arabic-Bold"/>
          <w:b w:val="0"/>
          <w:color w:val="355E91"/>
          <w:sz w:val="17"/>
          <w:szCs w:val="17"/>
          <w:rtl/>
        </w:rPr>
        <w:t xml:space="preserve">الغاية:  </w:t>
      </w:r>
      <w:r>
        <w:rPr>
          <w:rFonts w:ascii="Sakkal Majalla" w:hAnsi="Sakkal Majalla" w:cs="Sakkal Majalla" w:eastAsia="Sakkal Majalla"/>
          <w:b w:val="0"/>
          <w:sz w:val="22"/>
          <w:szCs w:val="22"/>
          <w:rtl/>
        </w:rPr>
        <w:t>كل حصة لها أهداف معلنة وتهيئة مشوّقة ومراحل موقوتة، في صفّ مجهّز، تعمل فيها الطالبات، وتنتهي بتقويم وتغذية راجعة.</w:t>
      </w:r>
    </w:p>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1587"/>
        <w:gridCol w:w="6916"/>
        <w:gridCol w:w="2267"/>
      </w:tblGrid>
      <w:tr>
        <w:trPr>
          <w:trHeight w:val="238" w:hRule="atLeast"/>
        </w:trPr>
        <w:tc>
          <w:tcPr>
            <w:tcW w:w="736"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اليوم</w:t>
            </w:r>
          </w:p>
        </w:tc>
        <w:tc>
          <w:tcPr>
            <w:tcW w:w="3210"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النشاط</w:t>
            </w:r>
          </w:p>
        </w:tc>
        <w:tc>
          <w:tcPr>
            <w:tcW w:w="1052"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المسؤول</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الأول</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معايرة المشرفات على حصة واحدة · ورشة المعلمات على نموذج التحضير والاستمارة</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المديرة · المشرفة</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الثاني</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تجهيز بيئة كل صفّ: مصادر القراءة والحساب · أعمال الطالبات · النواتج المعروضة</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الوكيلة التعليمية بجولة</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الثالث – الخامس</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زيارة استكشافية لكل معلمة (المجالات ١–٣) تنتهي ببطاقة جسر</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المشرفة المختصة</w:t>
            </w:r>
          </w:p>
        </w:tc>
      </w:tr>
    </w:tbl>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2692"/>
        <w:gridCol w:w="2692"/>
        <w:gridCol w:w="2692"/>
        <w:gridCol w:w="2692"/>
      </w:tblGrid>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م١ · ١   الأهداف واتساق الإستراتيجية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م١ · ٣   توزيع زمن الحصة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م١ · ٤   موافقة التوزيع الزمني للمقرر</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م١ · ٥   تجهيز بيئة التعلم</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١   التهيئة الحافزة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٢   التسلسل وصحة المادة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٣   تنوّع الإستراتيجيات والتعلم النشط</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٨   تنويع الأسئلة وعدالتها</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٩   التشجيع على المشاركة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١٣   ضبط الحصة واستثمار الزمن</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١   تكافؤ فرص المشاركة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٢   التقويم البنائي</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٣   التقويم الختامي</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٧   تغذية راجعة فورية محددة</w:t>
            </w:r>
          </w:p>
        </w:tc>
        <w:tc>
          <w:tcPr>
            <w:tcW w:w="1250" w:type="pct"/>
            <w:vAlign w:val="center"/>
          </w:tcPr>
          <w:p>
            <w:pPr>
              <w:bidi/>
              <w:spacing w:before="0" w:after="0" w:line="242" w:lineRule="exact"/>
            </w:pPr>
            <w:r/>
          </w:p>
        </w:tc>
        <w:tc>
          <w:tcPr>
            <w:tcW w:w="1250" w:type="pct"/>
            <w:vAlign w:val="center"/>
          </w:tcPr>
          <w:p>
            <w:pPr>
              <w:bidi/>
              <w:spacing w:before="0" w:after="0" w:line="242" w:lineRule="exact"/>
            </w:pPr>
            <w:r/>
          </w:p>
        </w:tc>
      </w:tr>
    </w:tbl>
    <w:p>
      <w:pPr>
        <w:bidi/>
        <w:spacing w:before="40" w:after="20" w:line="250" w:lineRule="exact"/>
        <w:jc w:val="both"/>
      </w:pPr>
      <w:r>
        <w:rPr>
          <w:rFonts w:ascii="Al-Jazeera-Arabic-Bold" w:hAnsi="Al-Jazeera-Arabic-Bold" w:cs="Al-Jazeera-Arabic-Bold" w:eastAsia="Al-Jazeera-Arabic-Bold"/>
          <w:b w:val="0"/>
          <w:color w:val="C00000"/>
          <w:sz w:val="16"/>
          <w:szCs w:val="16"/>
          <w:rtl/>
        </w:rPr>
        <w:t xml:space="preserve">مؤشر النجاح:  </w:t>
      </w:r>
      <w:r>
        <w:rPr>
          <w:rFonts w:ascii="Sakkal Majalla" w:hAnsi="Sakkal Majalla" w:cs="Sakkal Majalla" w:eastAsia="Sakkal Majalla"/>
          <w:b w:val="0"/>
          <w:sz w:val="20"/>
          <w:szCs w:val="20"/>
          <w:rtl/>
        </w:rPr>
        <w:t>٧٠ بالمئة من المعلمات عند ٣ فأعلى في مؤشرات الأسبوع · ٨٠ بالمئة من بطاقات الجسر متحقَّق منها</w:t>
      </w:r>
    </w:p>
    <w:p>
      <w:pPr>
        <w:keepNext/>
        <w:shd w:val="clear" w:color="auto" w:fill="355E91"/>
        <w:bidi/>
        <w:spacing w:before="120" w:after="20"/>
        <w:ind w:left="70" w:right="70"/>
      </w:pPr>
      <w:r>
        <w:rPr>
          <w:rFonts w:ascii="Al-Jazeera-Arabic-Bold" w:hAnsi="Al-Jazeera-Arabic-Bold" w:cs="Al-Jazeera-Arabic-Bold" w:eastAsia="Al-Jazeera-Arabic-Bold"/>
          <w:b w:val="0"/>
          <w:color w:val="FFFFFF"/>
          <w:sz w:val="20"/>
          <w:szCs w:val="20"/>
          <w:rtl/>
        </w:rPr>
        <w:t>الأسبوع الثاني — التمايز والمهارات</w:t>
      </w:r>
      <w:r>
        <w:rPr>
          <w:rFonts w:ascii="Sakkal Majalla" w:hAnsi="Sakkal Majalla" w:cs="Sakkal Majalla" w:eastAsia="Sakkal Majalla"/>
          <w:b w:val="0"/>
          <w:color w:val="DCE6F1"/>
          <w:sz w:val="19"/>
          <w:szCs w:val="19"/>
          <w:rtl/>
        </w:rPr>
        <w:t xml:space="preserve">     ١٨ مؤشراً · فقرات الهيئة: ١ · ٥ · ٦ · ٨ · ٩ · ١٠ · ١٥ · ١٦</w:t>
      </w:r>
    </w:p>
    <w:p>
      <w:pPr>
        <w:bidi/>
        <w:spacing w:before="0" w:after="40" w:line="264" w:lineRule="exact"/>
        <w:jc w:val="both"/>
      </w:pPr>
      <w:r>
        <w:rPr>
          <w:rFonts w:ascii="Al-Jazeera-Arabic-Bold" w:hAnsi="Al-Jazeera-Arabic-Bold" w:cs="Al-Jazeera-Arabic-Bold" w:eastAsia="Al-Jazeera-Arabic-Bold"/>
          <w:b w:val="0"/>
          <w:color w:val="355E91"/>
          <w:sz w:val="17"/>
          <w:szCs w:val="17"/>
          <w:rtl/>
        </w:rPr>
        <w:t xml:space="preserve">الغاية:  </w:t>
      </w:r>
      <w:r>
        <w:rPr>
          <w:rFonts w:ascii="Sakkal Majalla" w:hAnsi="Sakkal Majalla" w:cs="Sakkal Majalla" w:eastAsia="Sakkal Majalla"/>
          <w:b w:val="0"/>
          <w:sz w:val="22"/>
          <w:szCs w:val="22"/>
          <w:rtl/>
        </w:rPr>
        <w:t>لكل حصة مهمة مكيَّفة ومهمة إثرائية بزمن مخصَّص، والقراءة والكتابة والحساب والتفكير تُمارَس في كل مادة.</w:t>
      </w:r>
    </w:p>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1587"/>
        <w:gridCol w:w="6916"/>
        <w:gridCol w:w="2267"/>
      </w:tblGrid>
      <w:tr>
        <w:trPr>
          <w:trHeight w:val="238" w:hRule="atLeast"/>
        </w:trPr>
        <w:tc>
          <w:tcPr>
            <w:tcW w:w="736"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اليوم</w:t>
            </w:r>
          </w:p>
        </w:tc>
        <w:tc>
          <w:tcPr>
            <w:tcW w:w="3210"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النشاط</w:t>
            </w:r>
          </w:p>
        </w:tc>
        <w:tc>
          <w:tcPr>
            <w:tcW w:w="1052"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المسؤول</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الأول</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قراءة نتائج الاستكشافية مع المعلمات · ورشة المهمة المكيَّفة والمهمة الإثرائية</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المشرفة المختصة</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الثاني – الخامس</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زيارة متابعة لكل معلمة، والثلث الأضعف أولاً · التحقق من بطاقات الأسبوع الأول</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المشرفة المختصة</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الثالث – الرابع</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حصة نموذجية واحدة في كل مادة تحضرها معلماتها</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الوكيلة التعليمية</w:t>
            </w:r>
          </w:p>
        </w:tc>
      </w:tr>
    </w:tbl>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2692"/>
        <w:gridCol w:w="2692"/>
        <w:gridCol w:w="2692"/>
        <w:gridCol w:w="2692"/>
      </w:tblGrid>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م١ · ٢   إجراءات مخطَّطة للفئتين</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٤   الشمول وملاءمة المرحلة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٥   ملاءمة القدرات والخبرات والميول</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٦   الربط بالحياة الواقعية</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٧   أنشطة التجريب والاستقصاء</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١٠   المهمة المكيَّفة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١١   المهمة الإثرائية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١   مصادر القراءة والكتابة وأنشطتها</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٢   توظيف الطالبات للقراءة والكتابة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٣   المهارات العددية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٤   التفكير الناقد</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٥   التفكير الإبداعي</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٦   حل المشكلات</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م٤ · ٧   أساليب التفكير والإثراء</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١   التقويم التشخيصي</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٤   تنوّع أدوات التقويم</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٥   أنماط التعلم والتمايز</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٦   التقويم الذاتي وتقويم الأقران</w:t>
            </w:r>
          </w:p>
        </w:tc>
        <w:tc>
          <w:tcPr>
            <w:tcW w:w="1250" w:type="pct"/>
            <w:vAlign w:val="center"/>
          </w:tcPr>
          <w:p>
            <w:pPr>
              <w:bidi/>
              <w:spacing w:before="0" w:after="0" w:line="242" w:lineRule="exact"/>
            </w:pPr>
            <w:r/>
          </w:p>
        </w:tc>
        <w:tc>
          <w:tcPr>
            <w:tcW w:w="1250" w:type="pct"/>
            <w:vAlign w:val="center"/>
          </w:tcPr>
          <w:p>
            <w:pPr>
              <w:bidi/>
              <w:spacing w:before="0" w:after="0" w:line="242" w:lineRule="exact"/>
            </w:pPr>
            <w:r/>
          </w:p>
        </w:tc>
      </w:tr>
    </w:tbl>
    <w:p>
      <w:pPr>
        <w:bidi/>
        <w:spacing w:before="40" w:after="20" w:line="250" w:lineRule="exact"/>
        <w:jc w:val="both"/>
      </w:pPr>
      <w:r>
        <w:rPr>
          <w:rFonts w:ascii="Al-Jazeera-Arabic-Bold" w:hAnsi="Al-Jazeera-Arabic-Bold" w:cs="Al-Jazeera-Arabic-Bold" w:eastAsia="Al-Jazeera-Arabic-Bold"/>
          <w:b w:val="0"/>
          <w:color w:val="C00000"/>
          <w:sz w:val="16"/>
          <w:szCs w:val="16"/>
          <w:rtl/>
        </w:rPr>
        <w:t xml:space="preserve">مؤشر النجاح:  </w:t>
      </w:r>
      <w:r>
        <w:rPr>
          <w:rFonts w:ascii="Sakkal Majalla" w:hAnsi="Sakkal Majalla" w:cs="Sakkal Majalla" w:eastAsia="Sakkal Majalla"/>
          <w:b w:val="0"/>
          <w:sz w:val="20"/>
          <w:szCs w:val="20"/>
          <w:rtl/>
        </w:rPr>
        <w:t>٧٠ بالمئة من المعلمات عند ٣ فأعلى في مؤشرات الأسبوع · ٨٠ بالمئة من بطاقات الجسر متحقَّق منها · وثبات مؤشرات الأسابيع السابقة</w:t>
      </w:r>
    </w:p>
    <w:p>
      <w:pPr>
        <w:keepNext/>
        <w:shd w:val="clear" w:color="auto" w:fill="355E91"/>
        <w:bidi/>
        <w:spacing w:before="120" w:after="20"/>
        <w:ind w:left="70" w:right="70"/>
      </w:pPr>
      <w:r>
        <w:rPr>
          <w:rFonts w:ascii="Al-Jazeera-Arabic-Bold" w:hAnsi="Al-Jazeera-Arabic-Bold" w:cs="Al-Jazeera-Arabic-Bold" w:eastAsia="Al-Jazeera-Arabic-Bold"/>
          <w:b w:val="0"/>
          <w:color w:val="FFFFFF"/>
          <w:sz w:val="20"/>
          <w:szCs w:val="20"/>
          <w:rtl/>
        </w:rPr>
        <w:t>الأسبوع الثالث — المشاركة والتقنية والمحاكاة</w:t>
      </w:r>
      <w:r>
        <w:rPr>
          <w:rFonts w:ascii="Sakkal Majalla" w:hAnsi="Sakkal Majalla" w:cs="Sakkal Majalla" w:eastAsia="Sakkal Majalla"/>
          <w:b w:val="0"/>
          <w:color w:val="DCE6F1"/>
          <w:sz w:val="19"/>
          <w:szCs w:val="19"/>
          <w:rtl/>
        </w:rPr>
        <w:t xml:space="preserve">     ١٨ مؤشراً · فقرات الهيئة: ٧ · ١١ · ١٢ · ١٣ · ١٤ · ١٧</w:t>
      </w:r>
    </w:p>
    <w:p>
      <w:pPr>
        <w:bidi/>
        <w:spacing w:before="0" w:after="40" w:line="264" w:lineRule="exact"/>
        <w:jc w:val="both"/>
      </w:pPr>
      <w:r>
        <w:rPr>
          <w:rFonts w:ascii="Al-Jazeera-Arabic-Bold" w:hAnsi="Al-Jazeera-Arabic-Bold" w:cs="Al-Jazeera-Arabic-Bold" w:eastAsia="Al-Jazeera-Arabic-Bold"/>
          <w:b w:val="0"/>
          <w:color w:val="355E91"/>
          <w:sz w:val="17"/>
          <w:szCs w:val="17"/>
          <w:rtl/>
        </w:rPr>
        <w:t xml:space="preserve">الغاية:  </w:t>
      </w:r>
      <w:r>
        <w:rPr>
          <w:rFonts w:ascii="Sakkal Majalla" w:hAnsi="Sakkal Majalla" w:cs="Sakkal Majalla" w:eastAsia="Sakkal Majalla"/>
          <w:b w:val="0"/>
          <w:sz w:val="22"/>
          <w:szCs w:val="22"/>
          <w:rtl/>
        </w:rPr>
        <w:t>الطالبات يتحاورن ويعبّرن بثقة، والتقنية بأيديهن، والتغذية الراجعة يوظّفنها — ثم محاكاة زيارة الفريق.</w:t>
      </w:r>
    </w:p>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1587"/>
        <w:gridCol w:w="6916"/>
        <w:gridCol w:w="2267"/>
      </w:tblGrid>
      <w:tr>
        <w:trPr>
          <w:trHeight w:val="238" w:hRule="atLeast"/>
        </w:trPr>
        <w:tc>
          <w:tcPr>
            <w:tcW w:w="736"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اليوم</w:t>
            </w:r>
          </w:p>
        </w:tc>
        <w:tc>
          <w:tcPr>
            <w:tcW w:w="3210"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النشاط</w:t>
            </w:r>
          </w:p>
        </w:tc>
        <w:tc>
          <w:tcPr>
            <w:tcW w:w="1052" w:type="pct"/>
            <w:shd w:val="clear" w:color="auto" w:fill="D9D9D9"/>
            <w:vAlign w:val="center"/>
          </w:tcPr>
          <w:p>
            <w:pPr>
              <w:bidi/>
              <w:spacing w:before="0" w:after="0" w:line="246" w:lineRule="exact"/>
              <w:jc w:val="center"/>
            </w:pPr>
            <w:r/>
            <w:r>
              <w:rPr>
                <w:rFonts w:ascii="Al-Jazeera-Arabic-Bold" w:hAnsi="Al-Jazeera-Arabic-Bold" w:cs="Al-Jazeera-Arabic-Bold" w:eastAsia="Al-Jazeera-Arabic-Bold"/>
                <w:b w:val="0"/>
                <w:color w:val="355E91"/>
                <w:sz w:val="16"/>
                <w:szCs w:val="16"/>
                <w:rtl/>
              </w:rPr>
              <w:t>المسؤول</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الأول</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إعادة المعايرة · ورشة التقنية بيد الطالبة والمهمة على المنصة وتوظيف التغذية الراجعة</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المديرة · المشرفة</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الثاني – الثالث</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زيارة ثانية للثلث الأضعف · التحقق من بطاقات الأسبوع الثاني</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المشرفة المختصة</w:t>
            </w:r>
          </w:p>
        </w:tc>
      </w:tr>
      <w:tr>
        <w:trPr>
          <w:cantSplit/>
          <w:trHeight w:val="260" w:hRule="atLeast"/>
        </w:trPr>
        <w:tc>
          <w:tcPr>
            <w:tcW w:w="736" w:type="pct"/>
            <w:shd w:val="clear" w:color="auto" w:fill="F2F2F2"/>
            <w:vAlign w:val="center"/>
          </w:tcPr>
          <w:p>
            <w:pPr>
              <w:bidi/>
              <w:spacing w:before="0" w:after="0" w:line="250" w:lineRule="exact"/>
              <w:jc w:val="center"/>
            </w:pPr>
            <w:r/>
            <w:r>
              <w:rPr>
                <w:rFonts w:ascii="Al-Jazeera-Arabic-Bold" w:hAnsi="Al-Jazeera-Arabic-Bold" w:cs="Al-Jazeera-Arabic-Bold" w:eastAsia="Al-Jazeera-Arabic-Bold"/>
                <w:b w:val="0"/>
                <w:color w:val="355E91"/>
                <w:sz w:val="16"/>
                <w:szCs w:val="16"/>
                <w:rtl/>
              </w:rPr>
              <w:t>الرابع – الخامس</w:t>
            </w:r>
          </w:p>
        </w:tc>
        <w:tc>
          <w:tcPr>
            <w:tcW w:w="3210" w:type="pct"/>
            <w:vAlign w:val="center"/>
          </w:tcPr>
          <w:p>
            <w:pPr>
              <w:bidi/>
              <w:spacing w:before="0" w:after="0" w:line="250" w:lineRule="exact"/>
            </w:pPr>
            <w:r/>
            <w:r>
              <w:rPr>
                <w:rFonts w:ascii="Sakkal Majalla" w:hAnsi="Sakkal Majalla" w:cs="Sakkal Majalla" w:eastAsia="Sakkal Majalla"/>
                <w:b w:val="0"/>
                <w:color w:val="1A1A1A"/>
                <w:sz w:val="20"/>
                <w:szCs w:val="20"/>
                <w:rtl/>
              </w:rPr>
              <w:t>محاكاة الفريق: ١٧ حصة عيّنة موزّعة على المراحل والمواد بالمجالات الثمانية و«ما قالته الطالبات»، ثم تقرير الفجوات</w:t>
            </w:r>
          </w:p>
        </w:tc>
        <w:tc>
          <w:tcPr>
            <w:tcW w:w="1052" w:type="pct"/>
            <w:vAlign w:val="center"/>
          </w:tcPr>
          <w:p>
            <w:pPr>
              <w:bidi/>
              <w:spacing w:before="0" w:after="0" w:line="242" w:lineRule="exact"/>
              <w:jc w:val="center"/>
            </w:pPr>
            <w:r/>
            <w:r>
              <w:rPr>
                <w:rFonts w:ascii="Sakkal Majalla" w:hAnsi="Sakkal Majalla" w:cs="Sakkal Majalla" w:eastAsia="Sakkal Majalla"/>
                <w:b w:val="0"/>
                <w:color w:val="1A1A1A"/>
                <w:sz w:val="20"/>
                <w:szCs w:val="20"/>
                <w:rtl/>
              </w:rPr>
              <w:t>المشرفة المختصة</w:t>
            </w:r>
          </w:p>
        </w:tc>
      </w:tr>
    </w:tbl>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2692"/>
        <w:gridCol w:w="2692"/>
        <w:gridCol w:w="2692"/>
        <w:gridCol w:w="2692"/>
      </w:tblGrid>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م٢ · ١٢   أساليب التحفيز</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٢   المشاركة بإيجابية وحماس</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٣   الاندماج والرغبة في التعلم</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٤   التعبير بثقة ووضوح</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٥   التعاون والحوار</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م٣ · ٦   التعاطف والاحترام المتبادل</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م٥ · ١   توظيف الأدوات والسبورة الذكية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م٥ · ٢   المحتوى الإلكتروني</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م٥ · ٣   توظيف الطالبات للتقنية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م٥ · ٤   الدمج المبتكر والدعم</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م٥ · ٥   المصادر الموثوقة والمنصة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٨   ارتباطها بالموقف وتعزيز التعلم الذاتي</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م٦ · ٩   توظيف الطالبات للتغذية الراجعة</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م٧ · ١   قيمة الأسبوع</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م٧ · ٢   استخلاص الأفكار وتدوينها</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م٧ · ٣   العرض أمام الزميلات</w:t>
            </w:r>
          </w:p>
        </w:tc>
      </w:tr>
      <w:tr>
        <w:trPr>
          <w:cantSplit/>
          <w:trHeight w:val="226" w:hRule="atLeast"/>
        </w:trPr>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م٨ · ١   اللغة الفصحى</w:t>
            </w:r>
          </w:p>
        </w:tc>
        <w:tc>
          <w:tcPr>
            <w:tcW w:w="1250" w:type="pct"/>
            <w:shd w:val="clear" w:color="auto" w:fill="F2F2F2"/>
            <w:vAlign w:val="center"/>
          </w:tcPr>
          <w:p>
            <w:pPr>
              <w:bidi/>
              <w:spacing w:before="0" w:after="0" w:line="234" w:lineRule="exact"/>
            </w:pPr>
            <w:r/>
            <w:r>
              <w:rPr>
                <w:rFonts w:ascii="Sakkal Majalla" w:hAnsi="Sakkal Majalla" w:cs="Sakkal Majalla" w:eastAsia="Sakkal Majalla"/>
                <w:b w:val="0"/>
                <w:color w:val="1A1A1A"/>
                <w:sz w:val="19"/>
                <w:szCs w:val="19"/>
                <w:rtl/>
              </w:rPr>
              <w:t>م٨ · ٢   مهارات الاتصال</w:t>
            </w:r>
          </w:p>
        </w:tc>
        <w:tc>
          <w:tcPr>
            <w:tcW w:w="1250" w:type="pct"/>
            <w:vAlign w:val="center"/>
          </w:tcPr>
          <w:p>
            <w:pPr>
              <w:bidi/>
              <w:spacing w:before="0" w:after="0" w:line="242" w:lineRule="exact"/>
            </w:pPr>
            <w:r/>
          </w:p>
        </w:tc>
        <w:tc>
          <w:tcPr>
            <w:tcW w:w="1250" w:type="pct"/>
            <w:vAlign w:val="center"/>
          </w:tcPr>
          <w:p>
            <w:pPr>
              <w:bidi/>
              <w:spacing w:before="0" w:after="0" w:line="242" w:lineRule="exact"/>
            </w:pPr>
            <w:r/>
          </w:p>
        </w:tc>
      </w:tr>
    </w:tbl>
    <w:p>
      <w:pPr>
        <w:bidi/>
        <w:spacing w:before="40" w:after="20" w:line="250" w:lineRule="exact"/>
        <w:jc w:val="both"/>
      </w:pPr>
      <w:r>
        <w:rPr>
          <w:rFonts w:ascii="Al-Jazeera-Arabic-Bold" w:hAnsi="Al-Jazeera-Arabic-Bold" w:cs="Al-Jazeera-Arabic-Bold" w:eastAsia="Al-Jazeera-Arabic-Bold"/>
          <w:b w:val="0"/>
          <w:color w:val="C00000"/>
          <w:sz w:val="16"/>
          <w:szCs w:val="16"/>
          <w:rtl/>
        </w:rPr>
        <w:t xml:space="preserve">مؤشر النجاح:  </w:t>
      </w:r>
      <w:r>
        <w:rPr>
          <w:rFonts w:ascii="Sakkal Majalla" w:hAnsi="Sakkal Majalla" w:cs="Sakkal Majalla" w:eastAsia="Sakkal Majalla"/>
          <w:b w:val="0"/>
          <w:sz w:val="20"/>
          <w:szCs w:val="20"/>
          <w:rtl/>
        </w:rPr>
        <w:t>٧٠ بالمئة من المعلمات عند ٣ فأعلى في مؤشرات الأسبوع · ٨٠ بالمئة من بطاقات الجسر متحقَّق منها · وثبات مؤشرات الأسابيع السابقة</w:t>
      </w:r>
    </w:p>
    <w:p>
      <w:pPr>
        <w:keepNext/>
        <w:pBdr>
          <w:bottom w:val="single" w:sz="6" w:space="1" w:color="C00000"/>
        </w:pBdr>
        <w:bidi/>
        <w:spacing w:before="100" w:after="40"/>
      </w:pPr>
      <w:r>
        <w:rPr>
          <w:rFonts w:ascii="Al-Jazeera-Arabic-Bold" w:hAnsi="Al-Jazeera-Arabic-Bold" w:cs="Al-Jazeera-Arabic-Bold" w:eastAsia="Al-Jazeera-Arabic-Bold"/>
          <w:b w:val="0"/>
          <w:color w:val="C00000"/>
          <w:sz w:val="21"/>
          <w:szCs w:val="21"/>
          <w:rtl/>
        </w:rPr>
        <w:t>❖  أنواع الزيارات</w:t>
      </w:r>
    </w:p>
    <w:tbl>
      <w:tblPr>
        <w:bidiVisual/>
        <w:tblW w:w="5000" w:type="pct"/>
        <w:jc w:val="center"/>
        <w:tblBorders>
          <w:top w:val="single" w:sz="6" w:space="0" w:color="9DB2C6"/>
          <w:left w:val="single" w:sz="6" w:space="0" w:color="9DB2C6"/>
          <w:bottom w:val="single" w:sz="6" w:space="0" w:color="9DB2C6"/>
          <w:right w:val="single" w:sz="6" w:space="0" w:color="9DB2C6"/>
          <w:insideH w:val="single" w:sz="6" w:space="0" w:color="9DB2C6"/>
          <w:insideV w:val="single" w:sz="6" w:space="0" w:color="9DB2C6"/>
        </w:tblBorders>
        <w:tblLayout w:type="fixed"/>
        <w:tblCellMar>
          <w:top w:w="14" w:type="dxa"/>
          <w:left w:w="70" w:type="dxa"/>
          <w:bottom w:w="14" w:type="dxa"/>
          <w:right w:w="70" w:type="dxa"/>
        </w:tblCellMar>
        <w:tblLook w:firstColumn="1" w:firstRow="1" w:lastColumn="0" w:lastRow="0" w:noHBand="0" w:noVBand="1" w:val="04A0"/>
      </w:tblPr>
      <w:tblGrid>
        <w:gridCol w:w="1360"/>
        <w:gridCol w:w="2040"/>
        <w:gridCol w:w="3174"/>
        <w:gridCol w:w="4195"/>
      </w:tblGrid>
      <w:tr>
        <w:trPr>
          <w:trHeight w:val="249" w:hRule="atLeast"/>
        </w:trPr>
        <w:tc>
          <w:tcPr>
            <w:tcW w:w="631" w:type="pct"/>
            <w:shd w:val="clear" w:color="auto" w:fill="355E91"/>
            <w:vAlign w:val="center"/>
          </w:tcPr>
          <w:p>
            <w:pPr>
              <w:bidi/>
              <w:spacing w:before="0" w:after="0" w:line="256" w:lineRule="exact"/>
              <w:jc w:val="center"/>
            </w:pPr>
            <w:r/>
            <w:r>
              <w:rPr>
                <w:rFonts w:ascii="Al-Jazeera-Arabic-Bold" w:hAnsi="Al-Jazeera-Arabic-Bold" w:cs="Al-Jazeera-Arabic-Bold" w:eastAsia="Al-Jazeera-Arabic-Bold"/>
                <w:b w:val="0"/>
                <w:color w:val="FFFFFF"/>
                <w:sz w:val="17"/>
                <w:szCs w:val="17"/>
                <w:rtl/>
              </w:rPr>
              <w:t>النوع</w:t>
            </w:r>
          </w:p>
        </w:tc>
        <w:tc>
          <w:tcPr>
            <w:tcW w:w="947" w:type="pct"/>
            <w:shd w:val="clear" w:color="auto" w:fill="355E91"/>
            <w:vAlign w:val="center"/>
          </w:tcPr>
          <w:p>
            <w:pPr>
              <w:bidi/>
              <w:spacing w:before="0" w:after="0" w:line="256" w:lineRule="exact"/>
              <w:jc w:val="center"/>
            </w:pPr>
            <w:r/>
            <w:r>
              <w:rPr>
                <w:rFonts w:ascii="Al-Jazeera-Arabic-Bold" w:hAnsi="Al-Jazeera-Arabic-Bold" w:cs="Al-Jazeera-Arabic-Bold" w:eastAsia="Al-Jazeera-Arabic-Bold"/>
                <w:b w:val="0"/>
                <w:color w:val="FFFFFF"/>
                <w:sz w:val="17"/>
                <w:szCs w:val="17"/>
                <w:rtl/>
              </w:rPr>
              <w:t>التوقيت</w:t>
            </w:r>
          </w:p>
        </w:tc>
        <w:tc>
          <w:tcPr>
            <w:tcW w:w="1473" w:type="pct"/>
            <w:shd w:val="clear" w:color="auto" w:fill="355E91"/>
            <w:vAlign w:val="center"/>
          </w:tcPr>
          <w:p>
            <w:pPr>
              <w:bidi/>
              <w:spacing w:before="0" w:after="0" w:line="256" w:lineRule="exact"/>
              <w:jc w:val="center"/>
            </w:pPr>
            <w:r/>
            <w:r>
              <w:rPr>
                <w:rFonts w:ascii="Al-Jazeera-Arabic-Bold" w:hAnsi="Al-Jazeera-Arabic-Bold" w:cs="Al-Jazeera-Arabic-Bold" w:eastAsia="Al-Jazeera-Arabic-Bold"/>
                <w:b w:val="0"/>
                <w:color w:val="FFFFFF"/>
                <w:sz w:val="17"/>
                <w:szCs w:val="17"/>
                <w:rtl/>
              </w:rPr>
              <w:t>من يُزار</w:t>
            </w:r>
          </w:p>
        </w:tc>
        <w:tc>
          <w:tcPr>
            <w:tcW w:w="1947" w:type="pct"/>
            <w:shd w:val="clear" w:color="auto" w:fill="355E91"/>
            <w:vAlign w:val="center"/>
          </w:tcPr>
          <w:p>
            <w:pPr>
              <w:bidi/>
              <w:spacing w:before="0" w:after="0" w:line="256" w:lineRule="exact"/>
              <w:jc w:val="center"/>
            </w:pPr>
            <w:r/>
            <w:r>
              <w:rPr>
                <w:rFonts w:ascii="Al-Jazeera-Arabic-Bold" w:hAnsi="Al-Jazeera-Arabic-Bold" w:cs="Al-Jazeera-Arabic-Bold" w:eastAsia="Al-Jazeera-Arabic-Bold"/>
                <w:b w:val="0"/>
                <w:color w:val="FFFFFF"/>
                <w:sz w:val="17"/>
                <w:szCs w:val="17"/>
                <w:rtl/>
              </w:rPr>
              <w:t>ما يُرصد وما ينتج</w:t>
            </w:r>
          </w:p>
        </w:tc>
      </w:tr>
      <w:tr>
        <w:trPr>
          <w:cantSplit/>
          <w:trHeight w:val="272" w:hRule="atLeast"/>
        </w:trPr>
        <w:tc>
          <w:tcPr>
            <w:tcW w:w="631" w:type="pct"/>
            <w:shd w:val="clear" w:color="auto" w:fill="D9D9D9"/>
            <w:vAlign w:val="center"/>
          </w:tcPr>
          <w:p>
            <w:pPr>
              <w:bidi/>
              <w:spacing w:before="0" w:after="0" w:line="250" w:lineRule="exact"/>
            </w:pPr>
            <w:r/>
            <w:r>
              <w:rPr>
                <w:rFonts w:ascii="Al-Jazeera-Arabic-Bold" w:hAnsi="Al-Jazeera-Arabic-Bold" w:cs="Al-Jazeera-Arabic-Bold" w:eastAsia="Al-Jazeera-Arabic-Bold"/>
                <w:b w:val="0"/>
                <w:color w:val="355E91"/>
                <w:sz w:val="16"/>
                <w:szCs w:val="16"/>
                <w:rtl/>
              </w:rPr>
              <w:t>استكشافية</w:t>
            </w:r>
          </w:p>
        </w:tc>
        <w:tc>
          <w:tcPr>
            <w:tcW w:w="947" w:type="pct"/>
            <w:vAlign w:val="center"/>
          </w:tcPr>
          <w:p>
            <w:pPr>
              <w:bidi/>
              <w:spacing w:before="0" w:after="0" w:line="250" w:lineRule="exact"/>
            </w:pPr>
            <w:r/>
            <w:r>
              <w:rPr>
                <w:rFonts w:ascii="Sakkal Majalla" w:hAnsi="Sakkal Majalla" w:cs="Sakkal Majalla" w:eastAsia="Sakkal Majalla"/>
                <w:b w:val="0"/>
                <w:color w:val="1A1A1A"/>
                <w:sz w:val="20"/>
                <w:szCs w:val="20"/>
                <w:rtl/>
              </w:rPr>
              <w:t>الأسبوع الأول</w:t>
            </w:r>
          </w:p>
        </w:tc>
        <w:tc>
          <w:tcPr>
            <w:tcW w:w="1473" w:type="pct"/>
            <w:vAlign w:val="center"/>
          </w:tcPr>
          <w:p>
            <w:pPr>
              <w:bidi/>
              <w:spacing w:before="0" w:after="0" w:line="250" w:lineRule="exact"/>
            </w:pPr>
            <w:r/>
            <w:r>
              <w:rPr>
                <w:rFonts w:ascii="Sakkal Majalla" w:hAnsi="Sakkal Majalla" w:cs="Sakkal Majalla" w:eastAsia="Sakkal Majalla"/>
                <w:b w:val="0"/>
                <w:color w:val="1A1A1A"/>
                <w:sz w:val="20"/>
                <w:szCs w:val="20"/>
                <w:rtl/>
              </w:rPr>
              <w:t>كل المعلمات · المجالات ١–٣</w:t>
            </w:r>
          </w:p>
        </w:tc>
        <w:tc>
          <w:tcPr>
            <w:tcW w:w="1947" w:type="pct"/>
            <w:vAlign w:val="center"/>
          </w:tcPr>
          <w:p>
            <w:pPr>
              <w:bidi/>
              <w:spacing w:before="0" w:after="0" w:line="250" w:lineRule="exact"/>
            </w:pPr>
            <w:r/>
            <w:r>
              <w:rPr>
                <w:rFonts w:ascii="Sakkal Majalla" w:hAnsi="Sakkal Majalla" w:cs="Sakkal Majalla" w:eastAsia="Sakkal Majalla"/>
                <w:b w:val="0"/>
                <w:color w:val="1A1A1A"/>
                <w:sz w:val="20"/>
                <w:szCs w:val="20"/>
                <w:rtl/>
              </w:rPr>
              <w:t>خط الأساس وبطاقة جسر — لا تُعلَن درجتها</w:t>
            </w:r>
          </w:p>
        </w:tc>
      </w:tr>
      <w:tr>
        <w:trPr>
          <w:cantSplit/>
          <w:trHeight w:val="272" w:hRule="atLeast"/>
        </w:trPr>
        <w:tc>
          <w:tcPr>
            <w:tcW w:w="631" w:type="pct"/>
            <w:shd w:val="clear" w:color="auto" w:fill="D9D9D9"/>
            <w:vAlign w:val="center"/>
          </w:tcPr>
          <w:p>
            <w:pPr>
              <w:bidi/>
              <w:spacing w:before="0" w:after="0" w:line="250" w:lineRule="exact"/>
            </w:pPr>
            <w:r/>
            <w:r>
              <w:rPr>
                <w:rFonts w:ascii="Al-Jazeera-Arabic-Bold" w:hAnsi="Al-Jazeera-Arabic-Bold" w:cs="Al-Jazeera-Arabic-Bold" w:eastAsia="Al-Jazeera-Arabic-Bold"/>
                <w:b w:val="0"/>
                <w:color w:val="355E91"/>
                <w:sz w:val="16"/>
                <w:szCs w:val="16"/>
                <w:rtl/>
              </w:rPr>
              <w:t>متابعة</w:t>
            </w:r>
          </w:p>
        </w:tc>
        <w:tc>
          <w:tcPr>
            <w:tcW w:w="947" w:type="pct"/>
            <w:vAlign w:val="center"/>
          </w:tcPr>
          <w:p>
            <w:pPr>
              <w:bidi/>
              <w:spacing w:before="0" w:after="0" w:line="250" w:lineRule="exact"/>
            </w:pPr>
            <w:r/>
            <w:r>
              <w:rPr>
                <w:rFonts w:ascii="Sakkal Majalla" w:hAnsi="Sakkal Majalla" w:cs="Sakkal Majalla" w:eastAsia="Sakkal Majalla"/>
                <w:b w:val="0"/>
                <w:color w:val="1A1A1A"/>
                <w:sz w:val="20"/>
                <w:szCs w:val="20"/>
                <w:rtl/>
              </w:rPr>
              <w:t>الأسبوعان الثاني والثالث</w:t>
            </w:r>
          </w:p>
        </w:tc>
        <w:tc>
          <w:tcPr>
            <w:tcW w:w="1473" w:type="pct"/>
            <w:vAlign w:val="center"/>
          </w:tcPr>
          <w:p>
            <w:pPr>
              <w:bidi/>
              <w:spacing w:before="0" w:after="0" w:line="250" w:lineRule="exact"/>
            </w:pPr>
            <w:r/>
            <w:r>
              <w:rPr>
                <w:rFonts w:ascii="Sakkal Majalla" w:hAnsi="Sakkal Majalla" w:cs="Sakkal Majalla" w:eastAsia="Sakkal Majalla"/>
                <w:b w:val="0"/>
                <w:color w:val="1A1A1A"/>
                <w:sz w:val="20"/>
                <w:szCs w:val="20"/>
                <w:rtl/>
              </w:rPr>
              <w:t>كل المعلمات، والثلث الأضعف مرتين</w:t>
            </w:r>
          </w:p>
        </w:tc>
        <w:tc>
          <w:tcPr>
            <w:tcW w:w="1947" w:type="pct"/>
            <w:vAlign w:val="center"/>
          </w:tcPr>
          <w:p>
            <w:pPr>
              <w:bidi/>
              <w:spacing w:before="0" w:after="0" w:line="250" w:lineRule="exact"/>
            </w:pPr>
            <w:r/>
            <w:r>
              <w:rPr>
                <w:rFonts w:ascii="Sakkal Majalla" w:hAnsi="Sakkal Majalla" w:cs="Sakkal Majalla" w:eastAsia="Sakkal Majalla"/>
                <w:b w:val="0"/>
                <w:color w:val="1A1A1A"/>
                <w:sz w:val="20"/>
                <w:szCs w:val="20"/>
                <w:rtl/>
              </w:rPr>
              <w:t>مؤشرات الأسبوع وما سبقه · بطاقة جسر</w:t>
            </w:r>
          </w:p>
        </w:tc>
      </w:tr>
      <w:tr>
        <w:trPr>
          <w:cantSplit/>
          <w:trHeight w:val="272" w:hRule="atLeast"/>
        </w:trPr>
        <w:tc>
          <w:tcPr>
            <w:tcW w:w="631" w:type="pct"/>
            <w:shd w:val="clear" w:color="auto" w:fill="D9D9D9"/>
            <w:vAlign w:val="center"/>
          </w:tcPr>
          <w:p>
            <w:pPr>
              <w:bidi/>
              <w:spacing w:before="0" w:after="0" w:line="250" w:lineRule="exact"/>
            </w:pPr>
            <w:r/>
            <w:r>
              <w:rPr>
                <w:rFonts w:ascii="Al-Jazeera-Arabic-Bold" w:hAnsi="Al-Jazeera-Arabic-Bold" w:cs="Al-Jazeera-Arabic-Bold" w:eastAsia="Al-Jazeera-Arabic-Bold"/>
                <w:b w:val="0"/>
                <w:color w:val="355E91"/>
                <w:sz w:val="16"/>
                <w:szCs w:val="16"/>
                <w:rtl/>
              </w:rPr>
              <w:t>تقويمية</w:t>
            </w:r>
          </w:p>
        </w:tc>
        <w:tc>
          <w:tcPr>
            <w:tcW w:w="947" w:type="pct"/>
            <w:vAlign w:val="center"/>
          </w:tcPr>
          <w:p>
            <w:pPr>
              <w:bidi/>
              <w:spacing w:before="0" w:after="0" w:line="250" w:lineRule="exact"/>
            </w:pPr>
            <w:r/>
            <w:r>
              <w:rPr>
                <w:rFonts w:ascii="Sakkal Majalla" w:hAnsi="Sakkal Majalla" w:cs="Sakkal Majalla" w:eastAsia="Sakkal Majalla"/>
                <w:b w:val="0"/>
                <w:color w:val="1A1A1A"/>
                <w:sz w:val="20"/>
                <w:szCs w:val="20"/>
                <w:rtl/>
              </w:rPr>
              <w:t>آخر يومين</w:t>
            </w:r>
          </w:p>
        </w:tc>
        <w:tc>
          <w:tcPr>
            <w:tcW w:w="1473" w:type="pct"/>
            <w:vAlign w:val="center"/>
          </w:tcPr>
          <w:p>
            <w:pPr>
              <w:bidi/>
              <w:spacing w:before="0" w:after="0" w:line="250" w:lineRule="exact"/>
            </w:pPr>
            <w:r/>
            <w:r>
              <w:rPr>
                <w:rFonts w:ascii="Sakkal Majalla" w:hAnsi="Sakkal Majalla" w:cs="Sakkal Majalla" w:eastAsia="Sakkal Majalla"/>
                <w:b w:val="0"/>
                <w:color w:val="1A1A1A"/>
                <w:sz w:val="20"/>
                <w:szCs w:val="20"/>
                <w:rtl/>
              </w:rPr>
              <w:t>١٧ حصة عيّنة كما يفعل الفريق</w:t>
            </w:r>
          </w:p>
        </w:tc>
        <w:tc>
          <w:tcPr>
            <w:tcW w:w="1947" w:type="pct"/>
            <w:vAlign w:val="center"/>
          </w:tcPr>
          <w:p>
            <w:pPr>
              <w:bidi/>
              <w:spacing w:before="0" w:after="0" w:line="250" w:lineRule="exact"/>
            </w:pPr>
            <w:r/>
            <w:r>
              <w:rPr>
                <w:rFonts w:ascii="Sakkal Majalla" w:hAnsi="Sakkal Majalla" w:cs="Sakkal Majalla" w:eastAsia="Sakkal Majalla"/>
                <w:b w:val="0"/>
                <w:color w:val="1A1A1A"/>
                <w:sz w:val="20"/>
                <w:szCs w:val="20"/>
                <w:rtl/>
              </w:rPr>
              <w:t>المجالات الثمانية · تقرير الفجوات الأخير</w:t>
            </w:r>
          </w:p>
        </w:tc>
      </w:tr>
    </w:tbl>
    <w:p>
      <w:pPr>
        <w:keepNext/>
        <w:pBdr>
          <w:bottom w:val="single" w:sz="6" w:space="1" w:color="C00000"/>
        </w:pBdr>
        <w:bidi/>
        <w:spacing w:before="100" w:after="40"/>
      </w:pPr>
      <w:r>
        <w:rPr>
          <w:rFonts w:ascii="Al-Jazeera-Arabic-Bold" w:hAnsi="Al-Jazeera-Arabic-Bold" w:cs="Al-Jazeera-Arabic-Bold" w:eastAsia="Al-Jazeera-Arabic-Bold"/>
          <w:b w:val="0"/>
          <w:color w:val="C00000"/>
          <w:sz w:val="21"/>
          <w:szCs w:val="21"/>
          <w:rtl/>
        </w:rPr>
        <w:t>❖  عبء المشرفة المختصة   والفريق المعاون لتخصصٍ لا مشرفة له</w:t>
      </w:r>
      <w:r>
        <w:rPr>
          <w:rFonts w:ascii="Sakkal Majalla" w:hAnsi="Sakkal Majalla" w:cs="Sakkal Majalla" w:eastAsia="Sakkal Majalla"/>
          <w:b w:val="0"/>
          <w:color w:val="7F7F7F"/>
          <w:sz w:val="20"/>
          <w:szCs w:val="20"/>
          <w:rtl/>
        </w:rPr>
        <w:t xml:space="preserve"/>
      </w:r>
    </w:p>
    <w:p>
      <w:pPr>
        <w:bidi/>
        <w:spacing w:before="0" w:after="60" w:line="264" w:lineRule="exact"/>
        <w:jc w:val="both"/>
      </w:pPr>
      <w:r>
        <w:rPr>
          <w:rFonts w:ascii="Sakkal Majalla" w:hAnsi="Sakkal Majalla" w:cs="Sakkal Majalla" w:eastAsia="Sakkal Majalla"/>
          <w:b w:val="0"/>
          <w:sz w:val="22"/>
          <w:szCs w:val="22"/>
          <w:rtl/>
        </w:rPr>
        <w:t>مثال لمدرسة بثلاثين معلمة: ٣٠ زيارة استكشافية + ٣٠ متابعة + ١٠ متابعة ثانية للثلث الأضعف + ١٧ حصة محاكاة = ٨٧ زيارة في خمسة عشر يوم عمل، أي زيارتان تقريباً في اليوم لكل مشرفة. ولا يتجاوز عبء المشرفة حصتين في اليوم، فالتقدير يضعف مع الإرهاق — وما زاد يُوزَّع على أسابيع التطبيق أو يرصده الفريق المعاون.</w:t>
      </w:r>
    </w:p>
    <w:p>
      <w:pPr>
        <w:keepNext/>
        <w:pBdr>
          <w:bottom w:val="single" w:sz="6" w:space="1" w:color="C00000"/>
        </w:pBdr>
        <w:bidi/>
        <w:spacing w:before="100" w:after="40"/>
      </w:pPr>
      <w:r>
        <w:rPr>
          <w:rFonts w:ascii="Al-Jazeera-Arabic-Bold" w:hAnsi="Al-Jazeera-Arabic-Bold" w:cs="Al-Jazeera-Arabic-Bold" w:eastAsia="Al-Jazeera-Arabic-Bold"/>
          <w:b w:val="0"/>
          <w:color w:val="C00000"/>
          <w:sz w:val="21"/>
          <w:szCs w:val="21"/>
          <w:rtl/>
        </w:rPr>
        <w:t>❖  معايرة التقدير بين المشرفات   اليوم الأول من الأسبوعين الأول والثالث</w:t>
      </w:r>
      <w:r>
        <w:rPr>
          <w:rFonts w:ascii="Sakkal Majalla" w:hAnsi="Sakkal Majalla" w:cs="Sakkal Majalla" w:eastAsia="Sakkal Majalla"/>
          <w:b w:val="0"/>
          <w:color w:val="7F7F7F"/>
          <w:sz w:val="20"/>
          <w:szCs w:val="20"/>
          <w:rtl/>
        </w:rPr>
        <w:t xml:space="preserve"/>
      </w:r>
    </w:p>
    <w:p>
      <w:pPr>
        <w:bidi/>
        <w:spacing w:before="0" w:after="40" w:line="264" w:lineRule="exact"/>
        <w:jc w:val="both"/>
      </w:pPr>
      <w:r>
        <w:rPr>
          <w:rFonts w:ascii="Sakkal Majalla" w:hAnsi="Sakkal Majalla" w:cs="Sakkal Majalla" w:eastAsia="Sakkal Majalla"/>
          <w:b/>
          <w:color w:val="355E91"/>
          <w:sz w:val="22"/>
          <w:szCs w:val="22"/>
          <w:bCs/>
          <w:rtl/>
        </w:rPr>
        <w:t>١  حصة واحدة، مشرفتان فأكثر من التخصص نفسه:  تحضرانها معاً وتقيّم كلٌّ منهما منفردةً بالاستمارة ودليل المستويات — ومعهما مديرة المدرسة والوكيلة التعليمية للاطّلاع لا للرصد.</w:t>
      </w:r>
      <w:r>
        <w:rPr>
          <w:rFonts w:ascii="Al-Jazeera-Arabic-Bold" w:hAnsi="Al-Jazeera-Arabic-Bold" w:cs="Al-Jazeera-Arabic-Bold" w:eastAsia="Al-Jazeera-Arabic-Bold"/>
          <w:b w:val="0"/>
          <w:color w:val="355E91"/>
          <w:sz w:val="17"/>
          <w:szCs w:val="17"/>
          <w:rtl/>
        </w:rPr>
        <w:t xml:space="preserve"/>
      </w:r>
      <w:r>
        <w:rPr>
          <w:rFonts w:ascii="Sakkal Majalla" w:hAnsi="Sakkal Majalla" w:cs="Sakkal Majalla" w:eastAsia="Sakkal Majalla"/>
          <w:b w:val="0"/>
          <w:sz w:val="22"/>
          <w:szCs w:val="22"/>
          <w:rtl/>
        </w:rPr>
        <w:t/>
      </w:r>
    </w:p>
    <w:p>
      <w:pPr>
        <w:bidi/>
        <w:spacing w:before="0" w:after="40" w:line="264" w:lineRule="exact"/>
        <w:jc w:val="both"/>
      </w:pPr>
      <w:r>
        <w:rPr>
          <w:rFonts w:ascii="Sakkal Majalla" w:hAnsi="Sakkal Majalla" w:cs="Sakkal Majalla" w:eastAsia="Sakkal Majalla"/>
          <w:b/>
          <w:color w:val="355E91"/>
          <w:sz w:val="22"/>
          <w:szCs w:val="22"/>
          <w:bCs/>
          <w:rtl/>
        </w:rPr>
        <w:t>٢  المقارنة بالمؤشر لا بالمجموع:  المعيار أن تتفقا بفرق لا يتجاوز درجة واحدة في ٨٠ بالمئة من المؤشرات.</w:t>
      </w:r>
      <w:r>
        <w:rPr>
          <w:rFonts w:ascii="Al-Jazeera-Arabic-Bold" w:hAnsi="Al-Jazeera-Arabic-Bold" w:cs="Al-Jazeera-Arabic-Bold" w:eastAsia="Al-Jazeera-Arabic-Bold"/>
          <w:b w:val="0"/>
          <w:color w:val="355E91"/>
          <w:sz w:val="17"/>
          <w:szCs w:val="17"/>
          <w:rtl/>
        </w:rPr>
        <w:t xml:space="preserve"/>
      </w:r>
      <w:r>
        <w:rPr>
          <w:rFonts w:ascii="Sakkal Majalla" w:hAnsi="Sakkal Majalla" w:cs="Sakkal Majalla" w:eastAsia="Sakkal Majalla"/>
          <w:b w:val="0"/>
          <w:sz w:val="22"/>
          <w:szCs w:val="22"/>
          <w:rtl/>
        </w:rPr>
        <w:t/>
      </w:r>
    </w:p>
    <w:p>
      <w:pPr>
        <w:bidi/>
        <w:spacing w:before="0" w:after="40" w:line="264" w:lineRule="exact"/>
        <w:jc w:val="both"/>
      </w:pPr>
      <w:r>
        <w:rPr>
          <w:rFonts w:ascii="Sakkal Majalla" w:hAnsi="Sakkal Majalla" w:cs="Sakkal Majalla" w:eastAsia="Sakkal Majalla"/>
          <w:b/>
          <w:color w:val="355E91"/>
          <w:sz w:val="22"/>
          <w:szCs w:val="22"/>
          <w:bCs/>
          <w:rtl/>
        </w:rPr>
        <w:t>٣</w:t>
      </w:r>
      <w:r>
        <w:rPr>
          <w:rFonts w:ascii="Al-Jazeera-Arabic-Bold" w:hAnsi="Al-Jazeera-Arabic-Bold" w:cs="Al-Jazeera-Arabic-Bold" w:eastAsia="Al-Jazeera-Arabic-Bold"/>
          <w:b w:val="0"/>
          <w:color w:val="355E91"/>
          <w:sz w:val="17"/>
          <w:szCs w:val="17"/>
          <w:rtl/>
        </w:rPr>
        <w:t xml:space="preserve">  ما اختُلف فيه يُحسم بالدليل:  </w:t>
      </w:r>
      <w:r>
        <w:rPr>
          <w:rFonts w:ascii="Sakkal Majalla" w:hAnsi="Sakkal Majalla" w:cs="Sakkal Majalla" w:eastAsia="Sakkal Majalla"/>
          <w:b w:val="0"/>
          <w:sz w:val="22"/>
          <w:szCs w:val="22"/>
          <w:rtl/>
        </w:rPr>
        <w:t>يُقرأ الشاهد المعتمد و«لا يُعدّ شاهداً» للمؤشر محل الخلاف، ويُثبَّت الفهم المشترك كتابةً.</w:t>
      </w:r>
    </w:p>
    <w:p>
      <w:pPr>
        <w:keepNext/>
        <w:pBdr>
          <w:bottom w:val="single" w:sz="6" w:space="1" w:color="C00000"/>
        </w:pBdr>
        <w:bidi/>
        <w:spacing w:before="100" w:after="40"/>
      </w:pPr>
      <w:r>
        <w:rPr>
          <w:rFonts w:ascii="Al-Jazeera-Arabic-Bold" w:hAnsi="Al-Jazeera-Arabic-Bold" w:cs="Al-Jazeera-Arabic-Bold" w:eastAsia="Al-Jazeera-Arabic-Bold"/>
          <w:b w:val="0"/>
          <w:color w:val="C00000"/>
          <w:sz w:val="21"/>
          <w:szCs w:val="21"/>
          <w:rtl/>
        </w:rPr>
        <w:t>❖  خمس قواعد في الأسابيع الثلاثة</w:t>
      </w:r>
    </w:p>
    <w:p>
      <w:pPr>
        <w:bidi/>
        <w:spacing w:before="0" w:after="40" w:line="264" w:lineRule="exact"/>
        <w:jc w:val="both"/>
      </w:pPr>
      <w:r>
        <w:rPr>
          <w:rFonts w:ascii="Sakkal Majalla" w:hAnsi="Sakkal Majalla" w:cs="Sakkal Majalla" w:eastAsia="Sakkal Majalla"/>
          <w:b/>
          <w:color w:val="355E91"/>
          <w:sz w:val="22"/>
          <w:szCs w:val="22"/>
          <w:bCs/>
          <w:rtl/>
        </w:rPr>
        <w:t>١</w:t>
      </w:r>
      <w:r>
        <w:rPr>
          <w:rFonts w:ascii="Al-Jazeera-Arabic-Bold" w:hAnsi="Al-Jazeera-Arabic-Bold" w:cs="Al-Jazeera-Arabic-Bold" w:eastAsia="Al-Jazeera-Arabic-Bold"/>
          <w:b w:val="0"/>
          <w:color w:val="355E91"/>
          <w:sz w:val="17"/>
          <w:szCs w:val="17"/>
          <w:rtl/>
        </w:rPr>
        <w:t xml:space="preserve">  التغذية الراجعة في اليوم نفسه أو التالي:  </w:t>
      </w:r>
      <w:r>
        <w:rPr>
          <w:rFonts w:ascii="Sakkal Majalla" w:hAnsi="Sakkal Majalla" w:cs="Sakkal Majalla" w:eastAsia="Sakkal Majalla"/>
          <w:b w:val="0"/>
          <w:sz w:val="22"/>
          <w:szCs w:val="22"/>
          <w:rtl/>
        </w:rPr>
        <w:t>لا زيارة بلا جلسة مع المعلمة يُملأ فيها الوجه الثالث من الاستمارة؛ فالوقت لا يحتمل التأجيل.</w:t>
      </w:r>
    </w:p>
    <w:p>
      <w:pPr>
        <w:bidi/>
        <w:spacing w:before="0" w:after="40" w:line="264" w:lineRule="exact"/>
        <w:jc w:val="both"/>
      </w:pPr>
      <w:r>
        <w:rPr>
          <w:rFonts w:ascii="Sakkal Majalla" w:hAnsi="Sakkal Majalla" w:cs="Sakkal Majalla" w:eastAsia="Sakkal Majalla"/>
          <w:b/>
          <w:color w:val="355E91"/>
          <w:sz w:val="22"/>
          <w:szCs w:val="22"/>
          <w:bCs/>
          <w:rtl/>
        </w:rPr>
        <w:t>٢</w:t>
      </w:r>
      <w:r>
        <w:rPr>
          <w:rFonts w:ascii="Al-Jazeera-Arabic-Bold" w:hAnsi="Al-Jazeera-Arabic-Bold" w:cs="Al-Jazeera-Arabic-Bold" w:eastAsia="Al-Jazeera-Arabic-Bold"/>
          <w:b w:val="0"/>
          <w:color w:val="355E91"/>
          <w:sz w:val="17"/>
          <w:szCs w:val="17"/>
          <w:rtl/>
        </w:rPr>
        <w:t xml:space="preserve">  إجراء واحد لا ثلاثة:  </w:t>
      </w:r>
      <w:r>
        <w:rPr>
          <w:rFonts w:ascii="Sakkal Majalla" w:hAnsi="Sakkal Majalla" w:cs="Sakkal Majalla" w:eastAsia="Sakkal Majalla"/>
          <w:b w:val="0"/>
          <w:sz w:val="22"/>
          <w:szCs w:val="22"/>
          <w:rtl/>
        </w:rPr>
        <w:t>كل زيارة تنتهي ببطاقة جسر واحدة بإجراء واحد محدد؛ ثلاث ملاحظات في أسبوع مضغوط لا يُنفَّذ منها شيء.</w:t>
      </w:r>
    </w:p>
    <w:p>
      <w:pPr>
        <w:bidi/>
        <w:spacing w:before="0" w:after="40" w:line="264" w:lineRule="exact"/>
        <w:jc w:val="both"/>
      </w:pPr>
      <w:r>
        <w:rPr>
          <w:rFonts w:ascii="Sakkal Majalla" w:hAnsi="Sakkal Majalla" w:cs="Sakkal Majalla" w:eastAsia="Sakkal Majalla"/>
          <w:b/>
          <w:color w:val="355E91"/>
          <w:sz w:val="22"/>
          <w:szCs w:val="22"/>
          <w:bCs/>
          <w:rtl/>
        </w:rPr>
        <w:t>٣</w:t>
      </w:r>
      <w:r>
        <w:rPr>
          <w:rFonts w:ascii="Al-Jazeera-Arabic-Bold" w:hAnsi="Al-Jazeera-Arabic-Bold" w:cs="Al-Jazeera-Arabic-Bold" w:eastAsia="Al-Jazeera-Arabic-Bold"/>
          <w:b w:val="0"/>
          <w:color w:val="355E91"/>
          <w:sz w:val="17"/>
          <w:szCs w:val="17"/>
          <w:rtl/>
        </w:rPr>
        <w:t xml:space="preserve">  الثلث الأضعف أولاً:  </w:t>
      </w:r>
      <w:r>
        <w:rPr>
          <w:rFonts w:ascii="Sakkal Majalla" w:hAnsi="Sakkal Majalla" w:cs="Sakkal Majalla" w:eastAsia="Sakkal Majalla"/>
          <w:b w:val="0"/>
          <w:sz w:val="22"/>
          <w:szCs w:val="22"/>
          <w:rtl/>
        </w:rPr>
        <w:t>هو من يحدد نتيجة المدرسة أمام الفريق، فيُزار أولاً في كل أسبوع ويُزار مرتين.</w:t>
      </w:r>
    </w:p>
    <w:p>
      <w:pPr>
        <w:bidi/>
        <w:spacing w:before="0" w:after="40" w:line="264" w:lineRule="exact"/>
        <w:jc w:val="both"/>
      </w:pPr>
      <w:r>
        <w:rPr>
          <w:rFonts w:ascii="Sakkal Majalla" w:hAnsi="Sakkal Majalla" w:cs="Sakkal Majalla" w:eastAsia="Sakkal Majalla"/>
          <w:b/>
          <w:color w:val="355E91"/>
          <w:sz w:val="22"/>
          <w:szCs w:val="22"/>
          <w:bCs/>
          <w:rtl/>
        </w:rPr>
        <w:t>٤</w:t>
      </w:r>
      <w:r>
        <w:rPr>
          <w:rFonts w:ascii="Al-Jazeera-Arabic-Bold" w:hAnsi="Al-Jazeera-Arabic-Bold" w:cs="Al-Jazeera-Arabic-Bold" w:eastAsia="Al-Jazeera-Arabic-Bold"/>
          <w:b w:val="0"/>
          <w:color w:val="355E91"/>
          <w:sz w:val="17"/>
          <w:szCs w:val="17"/>
          <w:rtl/>
        </w:rPr>
        <w:t xml:space="preserve">  توحيد البنية لا المحتوى:  </w:t>
      </w:r>
      <w:r>
        <w:rPr>
          <w:rFonts w:ascii="Sakkal Majalla" w:hAnsi="Sakkal Majalla" w:cs="Sakkal Majalla" w:eastAsia="Sakkal Majalla"/>
          <w:b w:val="0"/>
          <w:sz w:val="22"/>
          <w:szCs w:val="22"/>
          <w:rtl/>
        </w:rPr>
        <w:t>تُوحَّد مراحل الحصة وأدواتها، ويبقى النشاط لكل معلمة؛ فسبع عشرة حصة متطابقة يكشفها الفريق فوراً.</w:t>
      </w:r>
    </w:p>
    <w:p>
      <w:pPr>
        <w:bidi/>
        <w:spacing w:before="0" w:after="40" w:line="264" w:lineRule="exact"/>
        <w:jc w:val="both"/>
      </w:pPr>
      <w:r>
        <w:rPr>
          <w:rFonts w:ascii="Sakkal Majalla" w:hAnsi="Sakkal Majalla" w:cs="Sakkal Majalla" w:eastAsia="Sakkal Majalla"/>
          <w:b/>
          <w:color w:val="355E91"/>
          <w:sz w:val="22"/>
          <w:szCs w:val="22"/>
          <w:bCs/>
          <w:rtl/>
        </w:rPr>
        <w:t>٥</w:t>
      </w:r>
      <w:r>
        <w:rPr>
          <w:rFonts w:ascii="Al-Jazeera-Arabic-Bold" w:hAnsi="Al-Jazeera-Arabic-Bold" w:cs="Al-Jazeera-Arabic-Bold" w:eastAsia="Al-Jazeera-Arabic-Bold"/>
          <w:b w:val="0"/>
          <w:color w:val="355E91"/>
          <w:sz w:val="17"/>
          <w:szCs w:val="17"/>
          <w:rtl/>
        </w:rPr>
        <w:t xml:space="preserve">  الطالبات يعرفن الروتين:  </w:t>
      </w:r>
      <w:r>
        <w:rPr>
          <w:rFonts w:ascii="Sakkal Majalla" w:hAnsi="Sakkal Majalla" w:cs="Sakkal Majalla" w:eastAsia="Sakkal Majalla"/>
          <w:b w:val="0"/>
          <w:sz w:val="22"/>
          <w:szCs w:val="22"/>
          <w:rtl/>
        </w:rPr>
        <w:t>أصدق علامة على الحال أن تؤدي الطالبات أدوارهن بلا توجيه متكرر، ويُجبن عن «ماذا تتعلّمين اليوم؟» بثقة.</w:t>
      </w:r>
    </w:p>
    <w:p>
      <w:pPr>
        <w:keepNext/>
        <w:pBdr>
          <w:bottom w:val="single" w:sz="6" w:space="1" w:color="C00000"/>
        </w:pBdr>
        <w:bidi/>
        <w:spacing w:before="100" w:after="40"/>
      </w:pPr>
      <w:r>
        <w:rPr>
          <w:rFonts w:ascii="Al-Jazeera-Arabic-Bold" w:hAnsi="Al-Jazeera-Arabic-Bold" w:cs="Al-Jazeera-Arabic-Bold" w:eastAsia="Al-Jazeera-Arabic-Bold"/>
          <w:b w:val="0"/>
          <w:color w:val="C00000"/>
          <w:sz w:val="21"/>
          <w:szCs w:val="21"/>
          <w:rtl/>
        </w:rPr>
        <w:t>❖  ما بعد الأسبوع الثالث</w:t>
      </w:r>
      <w:r>
        <w:rPr>
          <w:rFonts w:ascii="Sakkal Majalla" w:hAnsi="Sakkal Majalla" w:cs="Sakkal Majalla" w:eastAsia="Sakkal Majalla"/>
          <w:b w:val="0"/>
          <w:color w:val="7F7F7F"/>
          <w:sz w:val="20"/>
          <w:szCs w:val="20"/>
          <w:rtl/>
        </w:rPr>
        <w:t xml:space="preserve">   حتى وصول الفريق وبعده</w:t>
      </w:r>
    </w:p>
    <w:p>
      <w:pPr>
        <w:bidi/>
        <w:spacing w:before="0" w:after="60" w:line="264" w:lineRule="exact"/>
        <w:jc w:val="both"/>
      </w:pPr>
      <w:r>
        <w:rPr>
          <w:rFonts w:ascii="Sakkal Majalla" w:hAnsi="Sakkal Majalla" w:cs="Sakkal Majalla" w:eastAsia="Sakkal Majalla"/>
          <w:b w:val="0"/>
          <w:sz w:val="22"/>
          <w:szCs w:val="22"/>
          <w:rtl/>
        </w:rPr>
        <w:t>لا تتوقف الزيارات بانتهاء الأسابيع الثلاثة: تستمر زيارات المتابعة بالاستمارة نفسها وبطاقة الجسر، وتتقدّم فيها مؤشرات تقرير الفجوات الأخير، حتى يصير ما تدرّبت عليه المدرسة حالها المعتاد لا استعداداً لزيارة.</w:t>
      </w:r>
    </w:p>
    <w:sectPr w:rsidR="00FC693F" w:rsidRPr="0006063C" w:rsidSect="00034616">
      <w:headerReference w:type="default" r:id="rId9"/>
      <w:footerReference w:type="default" r:id="rId10"/>
      <w:pgSz w:w="11906" w:h="16838"/>
      <w:pgMar w:top="1389" w:right="567" w:bottom="454" w:left="567" w:header="283" w:footer="198"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before="0" w:after="0"/>
      <w:jc w:val="center"/>
    </w:pPr>
    <w:r/>
    <w:r>
      <w:rPr>
        <w:rFonts w:ascii="Sakkal Majalla" w:hAnsi="Sakkal Majalla" w:cs="Sakkal Majalla" w:eastAsia="Sakkal Majalla"/>
        <w:b w:val="0"/>
        <w:color w:val="7F7F7F"/>
        <w:sz w:val="17"/>
        <w:szCs w:val="17"/>
        <w:rtl/>
      </w:rPr>
      <w:t xml:space="preserve">خطة الاستعداد — مدارس ابن خلدون   ·   صفحة </w:t>
    </w:r>
    <w:fldSimple w:instr=" PAGE ">
      <w:r>
        <w:rPr>
          <w:rFonts w:ascii="Dubai" w:hAnsi="Dubai" w:cs="Dubai"/>
          <w:sz w:val="14"/>
          <w:szCs w:val="14"/>
          <w:color w:val="7F7F7F"/>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w="5000" w:type="pct"/>
      <w:jc w:val="center"/>
      <w:tblLayout w:type="fixed"/>
      <w:tblLook w:firstColumn="1" w:firstRow="1" w:lastColumn="0" w:lastRow="0" w:noHBand="0" w:noVBand="1" w:val="04A0"/>
    </w:tblPr>
    <w:tblGrid>
      <w:gridCol w:w="3401"/>
      <w:gridCol w:w="4535"/>
      <w:gridCol w:w="2834"/>
    </w:tblGrid>
    <w:tr>
      <w:tc>
        <w:tcPr>
          <w:tcW w:w="1578" w:type="pct"/>
          <w:vAlign w:val="center"/>
          <w:tcBorders>
            <w:top w:val="nil"/>
            <w:start w:val="nil"/>
            <w:bottom w:val="nil"/>
            <w:end w:val="nil"/>
            <w:left w:val="nil"/>
            <w:right w:val="nil"/>
          </w:tcBorders>
        </w:tcPr>
        <w:p>
          <w:pPr>
            <w:bidi/>
            <w:spacing w:before="0" w:after="0" w:line="206" w:lineRule="exact"/>
          </w:pPr>
          <w:r/>
          <w:r>
            <w:rPr>
              <w:rFonts w:ascii="Sakkal Majalla" w:hAnsi="Sakkal Majalla" w:cs="Sakkal Majalla" w:eastAsia="Sakkal Majalla"/>
              <w:b w:val="0"/>
              <w:color w:val="000080"/>
              <w:sz w:val="17"/>
              <w:szCs w:val="17"/>
              <w:rtl/>
            </w:rPr>
            <w:t>المملكة العربية السعودية</w:t>
          </w:r>
        </w:p>
        <w:p>
          <w:pPr>
            <w:bidi/>
            <w:spacing w:before="0" w:after="0" w:line="206" w:lineRule="exact"/>
          </w:pPr>
          <w:r>
            <w:rPr>
              <w:rFonts w:ascii="Sakkal Majalla" w:hAnsi="Sakkal Majalla" w:cs="Sakkal Majalla" w:eastAsia="Sakkal Majalla"/>
              <w:b w:val="0"/>
              <w:color w:val="000080"/>
              <w:sz w:val="17"/>
              <w:szCs w:val="17"/>
              <w:rtl/>
            </w:rPr>
            <w:t>إدارة التعليم بمنطقة الرياض</w:t>
          </w:r>
        </w:p>
        <w:p>
          <w:pPr>
            <w:bidi/>
            <w:spacing w:before="0" w:after="0" w:line="206" w:lineRule="exact"/>
          </w:pPr>
          <w:r>
            <w:rPr>
              <w:rFonts w:ascii="Sakkal Majalla" w:hAnsi="Sakkal Majalla" w:cs="Sakkal Majalla" w:eastAsia="Sakkal Majalla"/>
              <w:b w:val="0"/>
              <w:color w:val="000080"/>
              <w:sz w:val="17"/>
              <w:szCs w:val="17"/>
              <w:rtl/>
            </w:rPr>
            <w:t>مدارس ابن خلدون التعليمية</w:t>
          </w:r>
        </w:p>
        <w:p>
          <w:pPr>
            <w:bidi/>
            <w:spacing w:before="0" w:after="0" w:line="206" w:lineRule="exact"/>
          </w:pPr>
          <w:r>
            <w:rPr>
              <w:rFonts w:ascii="Sakkal Majalla" w:hAnsi="Sakkal Majalla" w:cs="Sakkal Majalla" w:eastAsia="Sakkal Majalla"/>
              <w:b w:val="0"/>
              <w:color w:val="000080"/>
              <w:sz w:val="17"/>
              <w:szCs w:val="17"/>
              <w:rtl/>
            </w:rPr>
            <w:t>الشؤون التعليمية</w:t>
          </w:r>
        </w:p>
        <w:p>
          <w:pPr>
            <w:bidi/>
            <w:spacing w:before="0" w:after="0" w:line="206" w:lineRule="exact"/>
          </w:pPr>
          <w:r>
            <w:rPr>
              <w:rFonts w:ascii="Sakkal Majalla" w:hAnsi="Sakkal Majalla" w:cs="Sakkal Majalla" w:eastAsia="Sakkal Majalla"/>
              <w:b w:val="0"/>
              <w:color w:val="000080"/>
              <w:sz w:val="17"/>
              <w:szCs w:val="17"/>
              <w:rtl/>
            </w:rPr>
            <w:t>الإشراف التربوي</w:t>
          </w:r>
        </w:p>
      </w:tc>
      <w:tc>
        <w:tcPr>
          <w:tcW w:w="2105" w:type="pct"/>
          <w:vAlign w:val="center"/>
          <w:tcBorders>
            <w:top w:val="nil"/>
            <w:start w:val="nil"/>
            <w:bottom w:val="nil"/>
            <w:end w:val="nil"/>
            <w:left w:val="nil"/>
            <w:right w:val="nil"/>
          </w:tcBorders>
        </w:tcPr>
        <w:p>
          <w:pPr>
            <w:bidi/>
            <w:spacing w:before="0" w:after="0"/>
            <w:jc w:val="center"/>
          </w:pPr>
          <w:r/>
          <w:r>
            <w:rPr>
              <w:rFonts w:ascii="Al-Jazeera-Arabic-Bold" w:hAnsi="Al-Jazeera-Arabic-Bold" w:cs="Al-Jazeera-Arabic-Bold" w:eastAsia="Al-Jazeera-Arabic-Bold"/>
              <w:b w:val="0"/>
              <w:color w:val="000000"/>
              <w:sz w:val="30"/>
              <w:szCs w:val="30"/>
              <w:rtl/>
            </w:rPr>
            <w:t>خطة الاستعداد</w:t>
          </w:r>
        </w:p>
        <w:p>
          <w:pPr>
            <w:bidi/>
            <w:spacing w:before="20" w:after="0"/>
            <w:jc w:val="center"/>
          </w:pPr>
          <w:r>
            <w:rPr>
              <w:rFonts w:ascii="Al-Jazeera-Arabic-Bold" w:hAnsi="Al-Jazeera-Arabic-Bold" w:cs="Al-Jazeera-Arabic-Bold" w:eastAsia="Al-Jazeera-Arabic-Bold"/>
              <w:b w:val="0"/>
              <w:color w:val="C00000"/>
              <w:sz w:val="17"/>
              <w:szCs w:val="17"/>
              <w:rtl/>
            </w:rPr>
            <w:t>ثلاثة أسابيع لاستقبال فريق التقويم الخارجي</w:t>
          </w:r>
        </w:p>
      </w:tc>
      <w:tc>
        <w:tcPr>
          <w:tcW w:w="1315" w:type="pct"/>
          <w:vAlign w:val="center"/>
          <w:tcBorders>
            <w:top w:val="nil"/>
            <w:start w:val="nil"/>
            <w:bottom w:val="nil"/>
            <w:end w:val="nil"/>
            <w:left w:val="nil"/>
            <w:right w:val="nil"/>
          </w:tcBorders>
        </w:tcPr>
        <w:p>
          <w:pPr>
            <w:bidi/>
            <w:spacing w:before="0" w:after="0"/>
            <w:jc w:val="center"/>
          </w:pPr>
          <w:r/>
          <w:r>
            <w:drawing>
              <wp:inline xmlns:a="http://schemas.openxmlformats.org/drawingml/2006/main" xmlns:pic="http://schemas.openxmlformats.org/drawingml/2006/picture">
                <wp:extent cx="1116000" cy="638999"/>
                <wp:docPr id="1" name="Picture 1"/>
                <wp:cNvGraphicFramePr>
                  <a:graphicFrameLocks noChangeAspect="1"/>
                </wp:cNvGraphicFramePr>
                <a:graphic>
                  <a:graphicData uri="http://schemas.openxmlformats.org/drawingml/2006/picture">
                    <pic:pic>
                      <pic:nvPicPr>
                        <pic:cNvPr id="0" name="logo2.png"/>
                        <pic:cNvPicPr/>
                      </pic:nvPicPr>
                      <pic:blipFill>
                        <a:blip r:embed="rId1"/>
                        <a:stretch>
                          <a:fillRect/>
                        </a:stretch>
                      </pic:blipFill>
                      <pic:spPr>
                        <a:xfrm>
                          <a:off x="0" y="0"/>
                          <a:ext cx="1116000" cy="638999"/>
                        </a:xfrm>
                        <a:prstGeom prst="rect"/>
                      </pic:spPr>
                    </pic:pic>
                  </a:graphicData>
                </a:graphic>
              </wp:inline>
            </w:drawing>
          </w:r>
        </w:p>
      </w:tc>
    </w:tr>
  </w:tbl>
  <w:p>
    <w:pPr>
      <w:pBdr>
        <w:bottom w:val="single" w:sz="8" w:space="1" w:color="355E91"/>
      </w:pBdr>
      <w:bidi/>
      <w:spacing w:before="2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eastAsia="Duba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