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Bdr>
          <w:bottom w:val="single" w:sz="6" w:space="1" w:color="C00000"/>
        </w:pBdr>
        <w:bidi/>
        <w:spacing w:before="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غاية الدليل</w:t>
      </w:r>
    </w:p>
    <w:p>
      <w:pPr>
        <w:bidi/>
        <w:spacing w:before="0" w:after="80" w:line="272" w:lineRule="exact"/>
        <w:jc w:val="both"/>
      </w:pPr>
      <w:r>
        <w:rPr>
          <w:rFonts w:ascii="Sakkal Majalla" w:hAnsi="Sakkal Majalla" w:cs="Sakkal Majalla" w:eastAsia="Sakkal Majalla"/>
          <w:b w:val="0"/>
          <w:sz w:val="22"/>
          <w:szCs w:val="22"/>
          <w:rtl/>
        </w:rPr>
        <w:t>يجيب هذا الدليل عن سؤال واحد لكل مؤشر في الاستمارة: ما الذي يُعدّ شاهداً، وما الذي لا يُعدّ؟ فبه يتطابق حكم المدير والوكيل التعليمي والمشرف على الحصة نفسها، ويعرف المعلم بالتحديد ما نقصه لا مجرد درجته.</w:t>
      </w:r>
    </w:p>
    <w:p>
      <w:pPr>
        <w:keepNext/>
        <w:pBdr>
          <w:bottom w:val="single" w:sz="6" w:space="1" w:color="C00000"/>
        </w:pBdr>
        <w:bidi/>
        <w:spacing w:before="8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قاعدة العتبات العامة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تنطبق على كل مؤشر ما لم تُذكر له عتبة خاصة</w:t>
      </w:r>
    </w:p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380"/>
        <w:gridCol w:w="2097"/>
        <w:gridCol w:w="2097"/>
        <w:gridCol w:w="2097"/>
        <w:gridCol w:w="2097"/>
      </w:tblGrid>
      <w:tr>
        <w:trPr>
          <w:cantSplit/>
          <w:trHeight w:val="260" w:hRule="atLeast"/>
        </w:trPr>
        <w:tc>
          <w:tcPr>
            <w:tcW w:w="1105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7"/>
                <w:szCs w:val="17"/>
                <w:rtl/>
              </w:rPr>
              <w:t>عدد الشواهد المعتمدة للمؤشر</w:t>
            </w:r>
          </w:p>
        </w:tc>
        <w:tc>
          <w:tcPr>
            <w:tcW w:w="973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1"/>
                <w:szCs w:val="21"/>
                <w:bCs/>
                <w:rtl/>
              </w:rPr>
              <w:t>٤</w:t>
            </w:r>
          </w:p>
        </w:tc>
        <w:tc>
          <w:tcPr>
            <w:tcW w:w="973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1"/>
                <w:szCs w:val="21"/>
                <w:bCs/>
                <w:rtl/>
              </w:rPr>
              <w:t>٣</w:t>
            </w:r>
          </w:p>
        </w:tc>
        <w:tc>
          <w:tcPr>
            <w:tcW w:w="973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1"/>
                <w:szCs w:val="21"/>
                <w:bCs/>
                <w:rtl/>
              </w:rPr>
              <w:t>٢</w:t>
            </w:r>
          </w:p>
        </w:tc>
        <w:tc>
          <w:tcPr>
            <w:tcW w:w="973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1"/>
                <w:szCs w:val="21"/>
                <w:bCs/>
                <w:rtl/>
              </w:rPr>
              <w:t>١</w:t>
            </w:r>
          </w:p>
        </w:tc>
      </w:tr>
      <w:tr>
        <w:trPr>
          <w:cantSplit/>
          <w:trHeight w:val="249" w:hRule="atLeast"/>
        </w:trPr>
        <w:tc>
          <w:tcPr>
            <w:tcW w:w="1105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ثلاثة شواهد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الثلاثة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اثنان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واحد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لا شيء</w:t>
            </w:r>
          </w:p>
        </w:tc>
      </w:tr>
      <w:tr>
        <w:trPr>
          <w:cantSplit/>
          <w:trHeight w:val="249" w:hRule="atLeast"/>
        </w:trPr>
        <w:tc>
          <w:tcPr>
            <w:tcW w:w="1105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أربعة شواهد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الأربعة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ثلاثة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واحد أو اثنان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لا شيء</w:t>
            </w:r>
          </w:p>
        </w:tc>
      </w:tr>
      <w:tr>
        <w:trPr>
          <w:cantSplit/>
          <w:trHeight w:val="249" w:hRule="atLeast"/>
        </w:trPr>
        <w:tc>
          <w:tcPr>
            <w:tcW w:w="1105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خمسة شواهد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أربعة أو خمسة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ثلاثة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واحد أو اثنان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لا شيء</w:t>
            </w:r>
          </w:p>
        </w:tc>
      </w:tr>
    </w:tbl>
    <w:p>
      <w:pPr>
        <w:keepNext/>
        <w:pBdr>
          <w:bottom w:val="single" w:sz="6" w:space="1" w:color="C00000"/>
        </w:pBdr>
        <w:bidi/>
        <w:spacing w:before="8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ثلاث قواعد للحكم</w:t>
      </w:r>
    </w:p>
    <w:p>
      <w:pPr>
        <w:bidi/>
        <w:spacing w:before="0" w:after="40" w:line="256" w:lineRule="exact"/>
      </w:pPr>
      <w:r>
        <w:rPr>
          <w:rFonts w:ascii="Sakkal Majalla" w:hAnsi="Sakkal Majalla" w:cs="Sakkal Majalla" w:eastAsia="Sakkal Majalla"/>
          <w:b/>
          <w:color w:val="355E91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7"/>
          <w:szCs w:val="17"/>
          <w:rtl/>
        </w:rPr>
        <w:t xml:space="preserve">  الشاهد يُرى لا يُفترض:  </w:t>
      </w:r>
      <w:r>
        <w:rPr>
          <w:rFonts w:ascii="Sakkal Majalla" w:hAnsi="Sakkal Majalla" w:cs="Sakkal Majalla" w:eastAsia="Sakkal Majalla"/>
          <w:b w:val="0"/>
          <w:sz w:val="21"/>
          <w:szCs w:val="21"/>
          <w:rtl/>
        </w:rPr>
        <w:t>ما لم يرصده المقيّم بعينه أثناء الحصة، أو يطّلع عليه موثَّقاً، لا يُحتسب ولو كان المعلم يفعله عادةً.</w:t>
      </w:r>
    </w:p>
    <w:p>
      <w:pPr>
        <w:bidi/>
        <w:spacing w:before="0" w:after="40" w:line="256" w:lineRule="exact"/>
      </w:pPr>
      <w:r>
        <w:rPr>
          <w:rFonts w:ascii="Sakkal Majalla" w:hAnsi="Sakkal Majalla" w:cs="Sakkal Majalla" w:eastAsia="Sakkal Majalla"/>
          <w:b/>
          <w:color w:val="355E91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7"/>
          <w:szCs w:val="17"/>
          <w:rtl/>
        </w:rPr>
        <w:t xml:space="preserve">  «لا يُعدّ شاهداً» حدٌّ لا ملاحظة:  </w:t>
      </w:r>
      <w:r>
        <w:rPr>
          <w:rFonts w:ascii="Sakkal Majalla" w:hAnsi="Sakkal Majalla" w:cs="Sakkal Majalla" w:eastAsia="Sakkal Majalla"/>
          <w:b w:val="0"/>
          <w:sz w:val="21"/>
          <w:szCs w:val="21"/>
          <w:rtl/>
        </w:rPr>
        <w:t>إذا اقتصر المعلم على ما في هذا العمود، فالمؤشر عند ١ مهما بدا العرض متقَناً.</w:t>
      </w:r>
    </w:p>
    <w:p>
      <w:pPr>
        <w:bidi/>
        <w:spacing w:before="0" w:after="40" w:line="256" w:lineRule="exact"/>
      </w:pPr>
      <w:r>
        <w:rPr>
          <w:rFonts w:ascii="Sakkal Majalla" w:hAnsi="Sakkal Majalla" w:cs="Sakkal Majalla" w:eastAsia="Sakkal Majalla"/>
          <w:b/>
          <w:color w:val="355E91"/>
          <w:sz w:val="21"/>
          <w:szCs w:val="21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7"/>
          <w:szCs w:val="17"/>
          <w:rtl/>
        </w:rPr>
        <w:t xml:space="preserve">  «لا ينطبق» للاستثناء لا للهروب:  </w:t>
      </w:r>
      <w:r>
        <w:rPr>
          <w:rFonts w:ascii="Sakkal Majalla" w:hAnsi="Sakkal Majalla" w:cs="Sakkal Majalla" w:eastAsia="Sakkal Majalla"/>
          <w:b w:val="0"/>
          <w:sz w:val="21"/>
          <w:szCs w:val="21"/>
          <w:rtl/>
        </w:rPr>
        <w:t>تُستعمل حين لا يتصور المؤشر في طبيعة الحصة (كحصة اختبار)، لا حين يغيب الشاهد.</w:t>
      </w:r>
    </w:p>
    <w:p>
      <w:pPr>
        <w:keepNext/>
        <w:pBdr>
          <w:bottom w:val="single" w:sz="6" w:space="1" w:color="C00000"/>
        </w:pBdr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الشواهد المعتمدة لكل مؤشر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بالترتيب نفسه والترقيم نفسه في الاستمارة</w:t>
      </w:r>
    </w:p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96"/>
        <w:gridCol w:w="1984"/>
        <w:gridCol w:w="5442"/>
        <w:gridCol w:w="2947"/>
      </w:tblGrid>
      <w:tr>
        <w:trPr>
          <w:cantSplit/>
          <w:trHeight w:val="283" w:hRule="atLeast"/>
        </w:trPr>
        <w:tc>
          <w:tcPr>
            <w:tcW w:w="184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7"/>
                <w:szCs w:val="17"/>
                <w:rtl/>
              </w:rPr>
              <w:t>م</w:t>
            </w:r>
          </w:p>
        </w:tc>
        <w:tc>
          <w:tcPr>
            <w:tcW w:w="921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7"/>
                <w:szCs w:val="17"/>
                <w:rtl/>
              </w:rPr>
              <w:t>المؤشر</w:t>
            </w:r>
          </w:p>
        </w:tc>
        <w:tc>
          <w:tcPr>
            <w:tcW w:w="2526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7"/>
                <w:szCs w:val="17"/>
                <w:rtl/>
              </w:rPr>
              <w:t>الشواهد المعتمدة</w:t>
            </w:r>
          </w:p>
        </w:tc>
        <w:tc>
          <w:tcPr>
            <w:tcW w:w="1368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7"/>
                <w:szCs w:val="17"/>
                <w:rtl/>
              </w:rPr>
              <w:t>لا يُعدّ شاهداً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التخطيط وتجهيز بيئة التعلم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الأهداف واتساق الإستراتيجية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أهداف مكتوبة بأفعال سلوكية قابلة للقياس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تتنوع بين معرفي ومهاري ووجداني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معروضة أو معلنة للطلاب في بداية الحصة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الإستراتيجية مناسبة لطبيعة الأهداف والمادة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قراءة عنوان الدرس بدل الأهداف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إجراءات مخطَّطة للفئتين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إجراء مكتوب للفئات الأولى بالرعاية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إجراء مكتوب لسريعي التعلم والموهوبين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الإجراءان محددان: مهمة أو مورد أو زمن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تُسمّى الفئة أو الطلاب المستهدفون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عبارة «مراعاة الفروق الفردية» بلا إجراء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توزيع زمن الحصة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زمن مكتوب لكل مرحلة: تهيئة · تنفيذ · تقويم · غلق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مجموع الأزمنة يساوي زمن الحصة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عدد الأنشطة يتناسب مع الزمن المتاح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زمن مكتوب مخصَّص للفئتين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زمن إجمالي بلا توزيع على المراحل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4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موافقة التوزيع الزمني للمقرر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رقم الدرس مطابق لخطة التوزيع لهذا الأسبوع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التحضير متصل بلا انقطاع في الدروس السابقة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عتبة خاصة: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إنجاز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٩٠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بالمئة فأعلى؛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من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٧٥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إلى أقل من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٩٠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؛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من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٥٠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إلى أقل من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٧٥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؛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أقل من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٥٠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تحضير لدرس لا يطابق موقعه في الخطة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5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تجهيز بيئة التعلم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مصدر سمعي أو بصري أو حسّي حاضر ومستعمَل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مصادر متنوعة: نوعان فأكثر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داعم ظاهر للقراءة والكتابة: ركن · لوحة · بطاقات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داعم ظاهر للحساب: محسوسات · لوحة أعداد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5. المصادر تلائم عمر الطلاب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مصادر معلَّقة لا تُستعمل في الحصة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العرض وإدارة الحصة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التهيئة الحافزة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تبدأ بسؤال أو موقف أو مثير لا بعنوان الدرس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مرتبطة صراحةً بهدف الدرس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تثير تفاعلاً ظاهراً: أسئلة أو توقعات من الطلاب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لا تتجاوز زمنها المخطَّط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«درسنا اليوم عن…» أو مراجعة الدرس السابق وحدها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التسلسل وصحة المادة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الإجراءات تسير بترتيب منطقي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المادة العلمية صحيحة بلا أخطاء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المعلومة مبسَّطة بمثال أو تمثيل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لكل هدف إجراء ظاهر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خطأ علمي واحد يُسقط المؤشر إلى ٢ مهما اكتملت البقية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تنوّع الإستراتيجيات والتعلم النشط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إستراتيجيتان فأكثر في الحصة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إحداها: استقصاء أو تعاوني أو مشروعات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الطلاب يعملون فعلياً لا يستمعون فقط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زمن عمل الطلاب يفوق زمن كلام المعلم (٧٠ مقابل ٣٠) — ودرجةُ هذا المؤشر تُشتقّ من بطاقة تشخيص الإستراتيجية (١٠٠) وفق جدول التحويل، وهذه الشواهدُ هي ما يُفحص عند تعبئتها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شرح المعلم ثم أسئلة للطلاب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4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الشمول وملاءمة المرحلة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الإستراتيجية تشمل جميع الطلاب لا فئة منهم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الأنشطة واللغة ملائمة لعمر الطلاب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مستوى التحدي مناسب للمرحلة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نشاط يشارك فيه المتفوقون وحدهم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5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ملاءمة القدرات والخبرات والميول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ربط بخبرة سابقة للطلاب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استثارة المعرفة السابقة قبل الجديد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نشاط يراعي ميول الطلاب واهتماماتهم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فرصة للاختيار بين مهام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سؤال «من يتذكر الدرس السابق؟» وحده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6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الربط بالحياة الواقعية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مثال من حياة الطلاب أو محيطهم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تطبيق عملي واقعي للمفهوم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ربط بجانب اجتماعي أو قيمي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الطلاب يذكرون تطبيقاً من عندهم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مثال من الكتاب المدرسي وحده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7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أنشطة التجريب والاستقصاء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نشاطان مختلفان فأكثر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نشاط غير مألوف للطلاب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تجربة عملية يجريها الطلاب بأيديهم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الطلاب يبحثون أو يستقصون إجابة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5. تطبيق المعرفة في موقف جديد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تجربة يجريها المعلم والطلاب يشاهدون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8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تنويع الأسئلة وعدالتها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أسئلة بمستويات مختلفة: تذكّر · فهم · تطبيق · تحليل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أسئلة مفتوحة لا بنعم أو لا فقط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تُوزَّع على طلاب مختلفين لا المتطوعين وحدهم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وقت انتظار كافٍ قبل تلقّي الإجابة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توجيه الأسئلة للطلاب أنفسهم في كل مرة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9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التشجيع على المشاركة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تشجيع صريح على المشاركة في الأنشطة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تشجيع على المناقشة وإبداء الرأي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تشجيع على استخدام مصادر التعلم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طلب المشاركة دون تهيئة فرصة لها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10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المهمة المكيَّفة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مهمة مُعدّة مسبقاً تختلف عن مهمة الصف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تُسلَّم بلا إعلان محرج للطالب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وقت مخصَّص ظاهر لها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المعلم يتابعها أثناء التنفيذ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5. أثر ظاهر في ناتج الطالب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تكييف شفهي ارتجالي وحده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المهمة الإثرائية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مهمة أعمق أو أوسع مُعدّة مسبقاً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تُسلَّم لمن ينهي مبكراً دون انتظار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وقت مخصَّص لها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تنمّي تفكيراً أعلى لا مزيداً من التمارين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«حُلّ تمارين إضافية من الكتاب»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أساليب التحفيز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تعزيز لفظي محدد لا عام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نوعان فأكثر: ثناء · مكافأة · احتفاء · منافسة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تحفيز على المشاركة لا على الصواب وحده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أسلوب تدريس محفّز: لعب · أدوار · قصة · تجربة · فيلم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«ممتاز» و«أحسنت» وحدهما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ضبط الحصة واستثمار الزمن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بدء الحصة في موعدها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انتهاؤها في موعدها بلا تجاوز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انتقالات سلسة بين الأنشطة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لا زمن مهدر في انتظار أو فوضى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5. تنظيم الصف يناسب الإستراتيجية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هدوء تام بلا عمل للطلاب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مشاركة المتعلمين واندماجهم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تكافؤ فرص المشاركة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ثلثا الطلاب فأكثر شاركوا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لا يستأثر ثلاثة أو أربعة طلاب بالمشاركة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الطلاب الهادئون أُشركوا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المقاعد الخلفية شاركت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عتبة خاصة: يُحكم من مخطط عدالة التفاعل: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ثلثان فأكثر بتوزيع متوازن؛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النصف؛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الثلث؛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أقل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حكم تقديري دون الرجوع إلى مخطط عدالة التفاعل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المشاركة بإيجابية وحماس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الطلاب يتطوعون للمشاركة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حماس ظاهر في النبرة والحركة والمبادرة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علامات استمتاع وتفاعل تلقائي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مشاركة بالإلزام وحده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الاندماج والرغبة في التعلم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انتباه ظاهر للمهمة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إنصات لبعضهم لا للمعلم وحده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أسئلة يطرحها الطلاب من تلقائهم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فضول يتجاوز المطلوب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هدوء الطلاب وحده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4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التعبير بثقة ووضوح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الطلاب يعبّرون بجمل كاملة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يبرّرون آراءهم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يتحدثون أمام الصف دون تردد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إجابات بكلمة واحدة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5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التعاون والحوار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عمل في مجموعات بأدوار محددة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حوار بين الطلاب لا عبر المعلم وحده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مناقشة يُستمع فيها للآخر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جلوس في مجموعات مع عمل فردي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6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التعاطف والاحترام المتبادل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تقبّل الرأي المخالف دون سخرية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مبادرة لمساعدة زميل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ضبط الانفعال عند الخلاف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غياب النزاع وحده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المهارات المستهدفة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مصادر القراءة والكتابة وأنشطتها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مصدر ظاهر للقراءة والكتابة في الصف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أسلوب يعزز القراءة: موجَّهة أو جهرية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نشاط كتابي مقصود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إعفاء المواد غير اللغوية — المؤشر مطلوب في كل مادة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توظيف الطلاب للقراءة والكتابة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الطلاب يقرؤون نصاً في الحصة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الطلاب يكتبون جملة أو فقرة أو إجابة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الكتابة مرتبطة بالمهمة لا منفصلة عنها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نقل من السبورة إلى الدفتر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المهارات العددية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مصدر أو محسوس للحساب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أسلوب يعزز الحساب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نشاط يتطلب حساباً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الطلاب يحسبون بأنفسهم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إعفاء غير الرياضيات — المؤشر مطلوب في كل مادة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4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التفكير الناقد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نشاط تحليل: تفكيك أو مقارنة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نشاط استنتاج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نشاط تقويم: حكم بمعيار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سؤال «لماذا؟» يتبع الإجابات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أسئلة استرجاع للمعلومة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5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التفكير الإبداعي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طلاقة: توليد أفكار كثيرة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مرونة: حلول بطرق مختلفة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أصالة: فكرة جديدة غير مألوفة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إجابة واحدة صحيحة مطلوبة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6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حل المشكلات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عرض مشكلة حقيقية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الطلاب يحددونها ويفهمونها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يقترحون حلولاً ويختارون أنسبها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يقوّمون الحل المختار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مسألة تطبيقية بخطوات معروفة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7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أساليب التفكير والإثراء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أسلوبان فأكثر لتنمية التفكير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نشاط إثرائي متنوع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نشاط إثرائي مبتكر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تمارين إضافية من النوع نفسه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التقنية والتعلم الإلكتروني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توظيف الأدوات والسبورة الذكية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أداة إلكترونية مستعمَلة في الشرح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التوظيف يخدم الهدف لا للزينة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السبورة الذكية مستعمَلة وفق القواعد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عرض شرائح نصية بديلاً عن الكتاب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المحتوى الإلكتروني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محتوى إلكتروني مرتبط بموضوع الدرس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يلبي احتياجات مختلفة: بصري · سمعي · مكيَّف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مصدره موثوق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مقطع عام غير مرتبط بالهدف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توظيف الطلاب للتقنية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الأداة بيد الطالب لا المعلم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الطلاب يبحثون أو ينفذون مهمة رقمية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المعلم يتابع إتقانهم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المعلم يعرض والطلاب يشاهدون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4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الدمج المبتكر والدعم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نشاط يدمج الورقي بالرقمي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المعلم يدعم من يتعثر في الاستخدام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الدمج يخدم هدف الدرس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استخدام التقنية منفصلاً عن مجرى الدرس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5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المصادر الموثوقة والمنصة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توجيه إلى المصادر الموثوقة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توجيه إلى الاستخدام الآمن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مهمة مُسنَدة على المنصة ظاهرة للزائر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ذكر المنصة دون مهمة قائمة عليها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التقويم والتغذية الراجعة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التقويم التشخيصي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سؤال أو نشاط يكشف المعرفة السابقة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يسبق الشرح الجديد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المعلم يبني على نتيجته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مراجعة الدرس السابق دون قياس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التقويم البنائي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تقويم بعد كل هدف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يكشف مستوى الفهم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المعلم يعدّل مساره بناءً عليه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«هل فهمتم؟» وحدها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التقويم الختامي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يشمل أهداف الدرس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في نهاية الحصة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فردي يظهر أداء كل طالب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سؤال شفهي لطالب واحد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4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تنوّع أدوات التقويم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أداتان فأكثر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من: ذاتي · أقران · مهام مفتوحة · مشروعات · أدائية · ملف إنجاز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تناسب نواتج التعلم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الأسئلة الشفهية وحدها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5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أنماط التعلم والتمايز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أداة تراعي نمطين فأكثر: سمعي · بصري · حركي · اجتماعي · شخصي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مستويات مختلفة في المهام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تسمح بإظهار التمايز في الأداء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ورقة عمل واحدة لجميع الطلاب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6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التقويم الذاتي وتقويم الأقران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أداة تقويم ذاتي بيد الطالب: قائمة أو سلّم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الطلاب يطبقونها فعلاً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تقويم أقران بمعيار محدد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نتيجتها تُستعمل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سؤال «هل أنت راضٍ عن إجابتك؟»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7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تغذية راجعة فورية محددة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فورية أثناء العمل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محددة: ما الصواب ولماذا · ما الخطأ وكيف يُصلح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بطرق متنوعة: شفهي · كتابي · إشارة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تصل طلاباً كثيرين لا بعضهم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«أحسنت» و«ممتاز» وحدهما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8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ارتباطها بالموقف وتعزيز التعلم الذاتي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مرتبطة بهدف الدرس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تدفع الطالب للتفكير لا تعطيه الإجابة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تعزز قدرته على تقويم نفسه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تصحيح المعلم الإجابة مباشرة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9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توظيف الطلاب للتغذية الراجعة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وقت مخصَّص ليصحح الطالب عمله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الطالب يعدّل فعلاً بعد الملاحظة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سجل متابعة منظم ومستعمَل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أوراق سابقة مصحَّحة ظاهرة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ملاحظات تُكتب ولا يُعاد إليها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بناء شخصية الطالب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قيمة الأسبوع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القيمة مذكورة صراحةً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مربوطة بمحتوى الدرس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الطلاب يناقشونها أو يطبقونها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كتابة القيمة على السبورة دون تفعيل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استخلاص الأفكار وتدوينها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الطالب يستخلص الفكرة الرئيسة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يدوّنها بلغته لا نقلاً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يميّز الرئيسة من الفرعية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ملخص يمليه المعلم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العرض أمام الزملاء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الطالب يعرض ما دوّنه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المعلم يسأل للتحقق من الفهم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الزملاء يعلّقون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قراءة الطالب من دفتره دون نقاش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٨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مهارات المعلم وقدراته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اللغة الفصحى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المعلم يتحدث بالفصحى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يكتب بفصحى سليمة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يحثّ الطلاب على الفصحى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الفصحى في الشرح والعامية في الإدارة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مهارات الاتصال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يتحرك في الصف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يواجه الطلاب لا السبورة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نبرة صوت واضحة متنوعة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يتعامل بلطف وتوازن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الوقوف ثابتاً عند السبورة طوال الحصة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89" w:right="567" w:bottom="454" w:left="567" w:header="283" w:footer="198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دليل مستويات الأداء — مدارس ابن خلدون   ·   صفحة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bidiVisual/>
      <w:tblW w:w="5000" w:type="pct"/>
      <w:jc w:val="center"/>
      <w:tblLayout w:type="fixed"/>
      <w:tblLook w:firstColumn="1" w:firstRow="1" w:lastColumn="0" w:lastRow="0" w:noHBand="0" w:noVBand="1" w:val="04A0"/>
    </w:tblPr>
    <w:tblGrid>
      <w:gridCol w:w="3401"/>
      <w:gridCol w:w="4535"/>
      <w:gridCol w:w="2834"/>
    </w:tblGrid>
    <w:tr>
      <w:tc>
        <w:tcPr>
          <w:tcW w:w="1578" w:type="pct"/>
          <w:vAlign w:val="center"/>
          <w:tcBorders>
            <w:top w:val="nil"/>
            <w:start w:val="nil"/>
            <w:bottom w:val="nil"/>
            <w:end w:val="nil"/>
            <w:left w:val="nil"/>
            <w:right w:val="nil"/>
          </w:tcBorders>
        </w:tcPr>
        <w:p>
          <w:pPr>
            <w:bidi/>
            <w:spacing w:before="0" w:after="0" w:line="206" w:lineRule="exact"/>
          </w:pPr>
          <w:r/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المملكة العربية السعودية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إدارة التعليم بمنطقة الرياض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مدارس ابن خلدون التعليمية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الشؤون التعليمية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قسم القياس والتقويم</w:t>
          </w:r>
        </w:p>
      </w:tc>
      <w:tc>
        <w:tcPr>
          <w:tcW w:w="2105" w:type="pct"/>
          <w:vAlign w:val="center"/>
          <w:tcBorders>
            <w:top w:val="nil"/>
            <w:start w:val="nil"/>
            <w:bottom w:val="nil"/>
            <w:end w:val="nil"/>
            <w:left w:val="nil"/>
            <w:right w:val="nil"/>
          </w:tcBorders>
        </w:tcPr>
        <w:p>
          <w:pPr>
            <w:bidi/>
            <w:spacing w:before="0" w:after="0"/>
            <w:jc w:val="center"/>
          </w:pPr>
          <w:r/>
          <w:r>
            <w:rPr>
              <w:rFonts w:ascii="Al-Jazeera-Arabic-Bold" w:hAnsi="Al-Jazeera-Arabic-Bold" w:cs="Al-Jazeera-Arabic-Bold" w:eastAsia="Al-Jazeera-Arabic-Bold"/>
              <w:b w:val="0"/>
              <w:color w:val="000000"/>
              <w:sz w:val="30"/>
              <w:szCs w:val="30"/>
              <w:rtl/>
            </w:rPr>
            <w:t>دليل مستويات الأداء</w:t>
          </w:r>
        </w:p>
        <w:p>
          <w:pPr>
            <w:bidi/>
            <w:spacing w:before="20" w:after="0"/>
            <w:jc w:val="center"/>
          </w:pPr>
          <w:r>
            <w:rPr>
              <w:rFonts w:ascii="Al-Jazeera-Arabic-Bold" w:hAnsi="Al-Jazeera-Arabic-Bold" w:cs="Al-Jazeera-Arabic-Bold" w:eastAsia="Al-Jazeera-Arabic-Bold"/>
              <w:b w:val="0"/>
              <w:color w:val="C00000"/>
              <w:sz w:val="17"/>
              <w:szCs w:val="17"/>
              <w:rtl/>
            </w:rPr>
            <w:t>مرافق لاستمارة الملاحظة الصفية — للمقيّمين</w:t>
          </w:r>
        </w:p>
      </w:tc>
      <w:tc>
        <w:tcPr>
          <w:tcW w:w="1315" w:type="pct"/>
          <w:vAlign w:val="center"/>
          <w:tcBorders>
            <w:top w:val="nil"/>
            <w:start w:val="nil"/>
            <w:bottom w:val="nil"/>
            <w:end w:val="nil"/>
            <w:left w:val="nil"/>
            <w:right w:val="nil"/>
          </w:tcBorders>
        </w:tcPr>
        <w:p>
          <w:pPr>
            <w:bidi/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116000" cy="638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638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8" w:space="1" w:color="355E91"/>
      </w:pBdr>
      <w:bidi/>
      <w:spacing w:before="2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