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8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إستراتيجية التعلم: علم بالقلم: التلخيص والعرض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360"/>
        <w:gridCol w:w="1388"/>
        <w:gridCol w:w="907"/>
        <w:gridCol w:w="850"/>
        <w:gridCol w:w="850"/>
        <w:gridCol w:w="1133"/>
        <w:gridCol w:w="850"/>
        <w:gridCol w:w="1190"/>
        <w:gridCol w:w="1162"/>
      </w:tblGrid>
      <w:tr>
        <w:trPr>
          <w:cantSplit/>
          <w:trHeight w:val="294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المعلمة</w:t>
            </w:r>
          </w:p>
        </w:tc>
        <w:tc>
          <w:tcPr>
            <w:tcW w:w="63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4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42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الصف/الفصل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539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  <w:tr>
        <w:trPr>
          <w:cantSplit/>
          <w:trHeight w:val="294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63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4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2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اليوم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539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425"/>
        <w:gridCol w:w="3939"/>
        <w:gridCol w:w="850"/>
        <w:gridCol w:w="850"/>
        <w:gridCol w:w="850"/>
        <w:gridCol w:w="850"/>
        <w:gridCol w:w="1105"/>
        <w:gridCol w:w="1899"/>
      </w:tblGrid>
      <w:tr>
        <w:trPr>
          <w:cantSplit/>
          <w:trHeight w:val="249" w:hRule="atLeast"/>
          <w:tblHeader/>
        </w:trPr>
        <w:tc>
          <w:tcPr>
            <w:tcW w:w="197" w:type="pct"/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مؤشر الأداء</w:t>
            </w:r>
          </w:p>
        </w:tc>
        <w:tc>
          <w:tcPr>
            <w:tcW w:w="2092" w:type="pct"/>
            <w:gridSpan w:val="5"/>
            <w:tcBorders>
              <w:left w:val="single" w:sz="8" w:space="0" w:color="355E91"/>
              <w:right w:val="single" w:sz="8" w:space="0" w:color="355E91"/>
              <w:top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مستوى الأداء</w:t>
            </w:r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ملاحظات</w:t>
            </w:r>
          </w:p>
        </w:tc>
      </w:tr>
      <w:tr>
        <w:trPr>
          <w:cantSplit/>
          <w:trHeight w:val="283" w:hRule="atLeast"/>
          <w:tblHeader/>
        </w:trPr>
        <w:tc>
          <w:tcPr>
            <w:tcW w:w="197" w:type="pct"/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ممتاز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١٠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جيد جداً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٨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جيد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٦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مقبول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٤</w:t>
            </w:r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يحتاج لتحسين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٢</w:t>
            </w:r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تحديد ما يُطلب تلخيصه بدقة: فكرة رئيسة · خطوات · قاعدة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نمذجة التلخيص أمام الطالبات مرة واحدة على الأقل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٣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تخصيص زمن صامت للكتابة الفردية قبل العرض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٤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كتابة الطالبة بلغتها هي لا نسخ عبارة الكتاب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٥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تدوين الأفكار الرئيسة والفرعية مرتبة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٦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اختيار طالبات من مستويات مختلفة للعرض لا المتطوعات وحدهن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٧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عرض الطالبة أمام زميلاتها بصوت مسموع ووضوح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٨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طرح المعلمة أسئلة تحقق من فهم الطالبة لما عرضته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٩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تعليق الزميلات على العرض بلغة محددة لا بعبارات عامة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tcBorders>
              <w:bottom w:val="single" w:sz="8" w:space="0" w:color="355E91"/>
              <w:lef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١٠</w:t>
            </w:r>
          </w:p>
        </w:tc>
        <w:tc>
          <w:tcPr>
            <w:tcW w:w="1828" w:type="pct"/>
            <w:tcBorders>
              <w:righ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حفظ الملخصات في الدفتر أو ملف الإنجاز للرجوع إليها</w:t>
            </w:r>
          </w:p>
        </w:tc>
        <w:tc>
          <w:tcPr>
            <w:tcW w:w="394" w:type="pct"/>
            <w:tcBorders>
              <w:lef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  <w:bottom w:val="single" w:sz="8" w:space="0" w:color="355E91"/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  <w:trHeight w:val="283" w:hRule="atLeast"/>
        </w:trPr>
        <w:tc>
          <w:tcPr>
            <w:tcW w:w="2026" w:type="pct"/>
            <w:gridSpan w:val="2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7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8"/>
                <w:szCs w:val="18"/>
                <w:rtl/>
              </w:rPr>
              <w:t>مجموع البطاقة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 xml:space="preserve">   (عشرة مؤشرات × ١٠)</w:t>
            </w:r>
          </w:p>
        </w:tc>
        <w:tc>
          <w:tcPr>
            <w:tcW w:w="1578" w:type="pct"/>
            <w:gridSpan w:val="4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7"/>
                <w:szCs w:val="17"/>
                <w:rtl/>
              </w:rPr>
              <w:t xml:space="preserve">........  من </w:t>
            </w:r>
            <w:r>
              <w:rPr>
                <w:rFonts w:ascii="Sakkal Majalla" w:hAnsi="Sakkal Majalla" w:cs="Sakkal Majalla" w:eastAsia="Sakkal Majalla"/>
                <w:b/>
                <w:color w:val="2F7F95"/>
                <w:sz w:val="21"/>
                <w:szCs w:val="21"/>
                <w:bCs/>
                <w:rtl/>
              </w:rPr>
              <w:t>١٠٠</w:t>
            </w:r>
          </w:p>
        </w:tc>
        <w:tc>
          <w:tcPr>
            <w:tcW w:w="1394" w:type="pct"/>
            <w:gridSpan w:val="2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النسبة: ........ ٪</w:t>
            </w:r>
          </w:p>
        </w:tc>
      </w:tr>
    </w:tbl>
    <w:p>
      <w:pPr>
        <w:bidi/>
        <w:spacing w:before="60" w:after="60" w:line="250" w:lineRule="exact"/>
        <w:jc w:val="center"/>
      </w:pP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>تُشتقّ منها درجة المؤشر م</w:t>
      </w:r>
      <w:r>
        <w:rPr>
          <w:rFonts w:ascii="Sakkal Majalla" w:hAnsi="Sakkal Majalla" w:cs="Sakkal Majalla" w:eastAsia="Sakkal Majalla"/>
          <w:b/>
          <w:color w:val="355E91"/>
          <w:sz w:val="20"/>
          <w:szCs w:val="20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 xml:space="preserve"> · </w:t>
      </w:r>
      <w:r>
        <w:rPr>
          <w:rFonts w:ascii="Sakkal Majalla" w:hAnsi="Sakkal Majalla" w:cs="Sakkal Majalla" w:eastAsia="Sakkal Majalla"/>
          <w:b/>
          <w:color w:val="355E91"/>
          <w:sz w:val="20"/>
          <w:szCs w:val="20"/>
          <w:bCs/>
          <w:rtl/>
        </w:rPr>
        <w:t>٣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 xml:space="preserve"> في استمارة الملاحظة الصفية:  </w:t>
      </w:r>
      <w:r>
        <w:rPr>
          <w:rFonts w:ascii="Sakkal Majalla" w:hAnsi="Sakkal Majalla" w:cs="Sakkal Majalla" w:eastAsia="Sakkal Majalla"/>
          <w:b w:val="0"/>
          <w:color w:val="1A1A1A"/>
          <w:sz w:val="20"/>
          <w:szCs w:val="20"/>
          <w:rtl/>
        </w:rPr>
        <w:t>٩٠٪ فأعلى ← ٤   ·   ٧٥ إلى أقل من ٩٠ ← ٣   ·   ٥٠ إلى أقل من ٧٥ ← ٢   ·   أقل من ٥٠ ← ١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494"/>
        <w:gridCol w:w="8276"/>
      </w:tblGrid>
      <w:tr>
        <w:trPr>
          <w:cantSplit/>
          <w:trHeight w:val="1247" w:hRule="atLeast"/>
        </w:trPr>
        <w:tc>
          <w:tcPr>
            <w:tcW w:w="1157" w:type="pc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إيجابيات</w:t>
            </w:r>
          </w:p>
        </w:tc>
        <w:tc>
          <w:tcPr>
            <w:tcW w:w="3842" w:type="pct"/>
            <w:vAlign w:val="center"/>
          </w:tcPr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١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٢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٣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٤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٥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</w:tc>
      </w:tr>
      <w:tr>
        <w:trPr>
          <w:cantSplit/>
          <w:trHeight w:val="1247" w:hRule="atLeast"/>
        </w:trPr>
        <w:tc>
          <w:tcPr>
            <w:tcW w:w="1157" w:type="pc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نقاط للتأمل</w:t>
            </w:r>
          </w:p>
        </w:tc>
        <w:tc>
          <w:tcPr>
            <w:tcW w:w="3842" w:type="pct"/>
            <w:vAlign w:val="center"/>
          </w:tcPr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١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٢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٣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٤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٥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927"/>
        <w:gridCol w:w="2947"/>
        <w:gridCol w:w="2947"/>
        <w:gridCol w:w="2947"/>
      </w:tblGrid>
      <w:tr>
        <w:trPr>
          <w:cantSplit/>
          <w:trHeight w:val="351" w:hRule="atLeast"/>
        </w:trPr>
        <w:tc>
          <w:tcPr>
            <w:tcW w:w="894" w:type="pct"/>
            <w:vMerge w:val="restar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البرنامج العلاجي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قراءة موجهة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نشرات تربوية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زيارات متبادلة</w:t>
            </w:r>
          </w:p>
        </w:tc>
      </w:tr>
      <w:tr>
        <w:trPr>
          <w:cantSplit/>
          <w:trHeight w:val="351" w:hRule="atLeast"/>
        </w:trPr>
        <w:tc>
          <w:tcPr>
            <w:tcW w:w="894" w:type="pct"/>
            <w:vMerge/>
          </w:tcPr>
          <w:p/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حصص نموذجية</w:t>
            </w:r>
          </w:p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برنامج تدريبي</w:t>
            </w:r>
          </w:p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أخرى: ........</w:t>
            </w:r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303"/>
        <w:gridCol w:w="1814"/>
        <w:gridCol w:w="850"/>
        <w:gridCol w:w="1247"/>
        <w:gridCol w:w="2380"/>
        <w:gridCol w:w="1247"/>
        <w:gridCol w:w="850"/>
        <w:gridCol w:w="1077"/>
      </w:tblGrid>
      <w:tr>
        <w:trPr>
          <w:cantSplit/>
          <w:trHeight w:val="589" w:hRule="atLeast"/>
        </w:trPr>
        <w:tc>
          <w:tcPr>
            <w:tcW w:w="605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المعلمة المنفذة</w:t>
            </w:r>
          </w:p>
        </w:tc>
        <w:tc>
          <w:tcPr>
            <w:tcW w:w="842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578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1105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الزائرة: المديرة / الوكيلة / المشرفة</w:t>
            </w:r>
          </w:p>
        </w:tc>
        <w:tc>
          <w:tcPr>
            <w:tcW w:w="578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>بطاقة تشخيص أداء المعلّم — علم بالقلم: التلخيص والعرض   ·   مدارس ابن خلدون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بطاقة تشخيص أداء المعلّم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