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80"/>
        <w:jc w:val="center"/>
      </w:pP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◆  </w:t>
      </w:r>
      <w:r>
        <w:rPr>
          <w:rFonts w:ascii="Al-Jazeera-Arabic-Bold" w:hAnsi="Al-Jazeera-Arabic-Bold" w:cs="Al-Jazeera-Arabic-Bold" w:eastAsia="Al-Jazeera-Arabic-Bold"/>
          <w:b w:val="0"/>
          <w:color w:val="C00000"/>
          <w:sz w:val="21"/>
          <w:szCs w:val="21"/>
          <w:rtl/>
        </w:rPr>
        <w:t>إستراتيجية التعلم: جيكسو</w:t>
      </w:r>
      <w:r>
        <w:rPr>
          <w:rFonts w:ascii="Sakkal Majalla" w:hAnsi="Sakkal Majalla" w:cs="Sakkal Majalla" w:eastAsia="Sakkal Majalla"/>
          <w:b w:val="0"/>
          <w:color w:val="C00000"/>
          <w:sz w:val="17"/>
          <w:szCs w:val="17"/>
          <w:rtl/>
        </w:rPr>
        <w:t xml:space="preserve">  ◆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"/>
        <w:gridCol w:w="1360"/>
        <w:gridCol w:w="1388"/>
        <w:gridCol w:w="907"/>
        <w:gridCol w:w="850"/>
        <w:gridCol w:w="850"/>
        <w:gridCol w:w="1133"/>
        <w:gridCol w:w="850"/>
        <w:gridCol w:w="1190"/>
        <w:gridCol w:w="1162"/>
      </w:tblGrid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اسم المعلم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المرحلة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المادة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الصف/الفصل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  <w:tr>
        <w:trPr>
          <w:cantSplit/>
          <w:trHeight w:val="294" w:hRule="atLeast"/>
        </w:trPr>
        <w:tc>
          <w:tcPr>
            <w:tcW w:w="499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موضوع الدرس</w:t>
            </w:r>
          </w:p>
        </w:tc>
        <w:tc>
          <w:tcPr>
            <w:tcW w:w="63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64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الاتجاه التدريسي</w:t>
            </w:r>
          </w:p>
        </w:tc>
        <w:tc>
          <w:tcPr>
            <w:tcW w:w="421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التاريخ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26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اليوم</w:t>
            </w:r>
          </w:p>
        </w:tc>
        <w:tc>
          <w:tcPr>
            <w:tcW w:w="394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  <w:tc>
          <w:tcPr>
            <w:tcW w:w="552" w:type="pct"/>
            <w:shd w:val="clear" w:color="auto" w:fill="E9EEF6"/>
            <w:vAlign w:val="center"/>
          </w:tcPr>
          <w:p>
            <w:pPr>
              <w:bidi/>
              <w:spacing w:before="0" w:after="0" w:line="24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زمن الحصة</w:t>
            </w:r>
          </w:p>
        </w:tc>
        <w:tc>
          <w:tcPr>
            <w:tcW w:w="539" w:type="pct"/>
            <w:vAlign w:val="center"/>
          </w:tcPr>
          <w:p>
            <w:pPr>
              <w:bidi/>
              <w:spacing w:before="0" w:after="0" w:line="242" w:lineRule="exact"/>
            </w:pPr>
            <w:r/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425"/>
        <w:gridCol w:w="3939"/>
        <w:gridCol w:w="850"/>
        <w:gridCol w:w="850"/>
        <w:gridCol w:w="850"/>
        <w:gridCol w:w="850"/>
        <w:gridCol w:w="1105"/>
        <w:gridCol w:w="1899"/>
      </w:tblGrid>
      <w:tr>
        <w:trPr>
          <w:cantSplit/>
          <w:trHeight w:val="249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5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7"/>
                <w:szCs w:val="17"/>
                <w:rtl/>
              </w:rPr>
              <w:t>مؤشر الأداء</w:t>
            </w:r>
          </w:p>
        </w:tc>
        <w:tc>
          <w:tcPr>
            <w:tcW w:w="2092" w:type="pct"/>
            <w:gridSpan w:val="5"/>
            <w:tcBorders>
              <w:left w:val="single" w:sz="8" w:space="0" w:color="355E91"/>
              <w:right w:val="single" w:sz="8" w:space="0" w:color="355E91"/>
              <w:top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مستوى الأداء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6"/>
                <w:szCs w:val="16"/>
                <w:rtl/>
              </w:rPr>
              <w:t>ملاحظات</w:t>
            </w:r>
          </w:p>
        </w:tc>
      </w:tr>
      <w:tr>
        <w:trPr>
          <w:cantSplit/>
          <w:trHeight w:val="283" w:hRule="atLeast"/>
          <w:tblHeader/>
        </w:trPr>
        <w:tc>
          <w:tcPr>
            <w:tcW w:w="197" w:type="pct"/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ممتاز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١٠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جداً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٨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جيد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٦</w:t>
            </w:r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مقبول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٤</w:t>
            </w:r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before="0" w:after="0" w:line="20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3"/>
                <w:szCs w:val="13"/>
                <w:rtl/>
              </w:rPr>
              <w:t xml:space="preserve">يحتاج لتحسين </w:t>
            </w:r>
            <w:r>
              <w:rPr>
                <w:rFonts w:ascii="Sakkal Majalla" w:hAnsi="Sakkal Majalla" w:cs="Sakkal Majalla" w:eastAsia="Sakkal Majalla"/>
                <w:b/>
                <w:color w:val="355E91"/>
                <w:sz w:val="16"/>
                <w:szCs w:val="16"/>
                <w:bCs/>
                <w:rtl/>
              </w:rPr>
              <w:t>٢</w:t>
            </w:r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D9D9D9"/>
            <w:vAlign w:val="center"/>
          </w:tcPr>
          <w:p>
            <w:pPr>
              <w:bidi/>
              <w:spacing w:before="0" w:after="0" w:line="150" w:lineRule="exact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تقسيم الطلاب إلى مجموعات (٣–٥) غير متجانسة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٢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تقسيم محتوى الدرس إلى (٥–٦) فقرات أو حسب الحاجة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٣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توزيع الفقرات على الطلاب في كل مجموعة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٤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إتاحة الوقت المناسب للقراءة وتنفيذ المهام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٥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تشجيع المعلم للطلاب على تبادل الأفكار حول كل فقرة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٦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وضوح شخصية الطالب أثناء شرحه للمعلومة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٧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التنقل بين المجموعات ومتابعة المهام المنفذة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٨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إجراء تقييم (اختبار قصير) كورقة عمل للمجموعات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٩</w:t>
            </w:r>
          </w:p>
        </w:tc>
        <w:tc>
          <w:tcPr>
            <w:tcW w:w="1828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ساعدت الاستراتيجية الطلاب على تنمية قدراتهم ومهاراتهم</w:t>
            </w:r>
          </w:p>
        </w:tc>
        <w:tc>
          <w:tcPr>
            <w:tcW w:w="394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</w:tcBorders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</w:trPr>
        <w:tc>
          <w:tcPr>
            <w:tcW w:w="197" w:type="pct"/>
            <w:tcBorders>
              <w:bottom w:val="single" w:sz="8" w:space="0" w:color="355E91"/>
              <w:left w:val="single" w:sz="8" w:space="0" w:color="355E91"/>
            </w:tcBorders>
            <w:shd w:val="clear" w:color="auto" w:fill="E9EEF6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  <w:r>
              <w:rPr>
                <w:rFonts w:ascii="Sakkal Majalla" w:hAnsi="Sakkal Majalla" w:cs="Sakkal Majalla" w:eastAsia="Sakkal Majalla"/>
                <w:b/>
                <w:color w:val="355E91"/>
                <w:sz w:val="20"/>
                <w:szCs w:val="20"/>
                <w:bCs/>
                <w:rtl/>
              </w:rPr>
              <w:t>١٠</w:t>
            </w:r>
          </w:p>
        </w:tc>
        <w:tc>
          <w:tcPr>
            <w:tcW w:w="1828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مستوى تفاعل الطلاب ودافعيتهم للتعلم</w:t>
            </w:r>
          </w:p>
        </w:tc>
        <w:tc>
          <w:tcPr>
            <w:tcW w:w="394" w:type="pct"/>
            <w:tcBorders>
              <w:lef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394" w:type="pct"/>
            <w:tcBorders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513" w:type="pct"/>
            <w:tcBorders>
              <w:right w:val="single" w:sz="8" w:space="0" w:color="355E91"/>
              <w:bottom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  <w:tc>
          <w:tcPr>
            <w:tcW w:w="881" w:type="pct"/>
            <w:tcBorders>
              <w:left w:val="single" w:sz="8" w:space="0" w:color="355E91"/>
              <w:bottom w:val="single" w:sz="8" w:space="0" w:color="355E91"/>
              <w:right w:val="single" w:sz="8" w:space="0" w:color="355E91"/>
            </w:tcBorders>
            <w:shd w:val="clear" w:color="auto" w:fill="F6F8FB"/>
            <w:vAlign w:val="center"/>
          </w:tcPr>
          <w:p>
            <w:pPr>
              <w:bidi/>
              <w:spacing w:after="0" w:line="240" w:lineRule="auto"/>
              <w:jc w:val="center"/>
            </w:pPr>
            <w:r/>
          </w:p>
        </w:tc>
      </w:tr>
      <w:tr>
        <w:trPr>
          <w:cantSplit/>
          <w:trHeight w:val="283" w:hRule="atLeast"/>
        </w:trPr>
        <w:tc>
          <w:tcPr>
            <w:tcW w:w="2026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74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8"/>
                <w:szCs w:val="18"/>
                <w:rtl/>
              </w:rPr>
              <w:t>مجموع البطاقة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8"/>
                <w:szCs w:val="18"/>
                <w:rtl/>
              </w:rPr>
              <w:t xml:space="preserve">   (عشرة مؤشرات × ١٠)</w:t>
            </w:r>
          </w:p>
        </w:tc>
        <w:tc>
          <w:tcPr>
            <w:tcW w:w="1578" w:type="pct"/>
            <w:gridSpan w:val="4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60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7"/>
                <w:szCs w:val="17"/>
                <w:rtl/>
              </w:rPr>
              <w:t xml:space="preserve">........  من </w:t>
            </w:r>
            <w:r>
              <w:rPr>
                <w:rFonts w:ascii="Sakkal Majalla" w:hAnsi="Sakkal Majalla" w:cs="Sakkal Majalla" w:eastAsia="Sakkal Majalla"/>
                <w:b/>
                <w:color w:val="2F7F95"/>
                <w:sz w:val="21"/>
                <w:szCs w:val="21"/>
                <w:bCs/>
                <w:rtl/>
              </w:rPr>
              <w:t>١٠٠</w:t>
            </w:r>
          </w:p>
        </w:tc>
        <w:tc>
          <w:tcPr>
            <w:tcW w:w="1394" w:type="pct"/>
            <w:gridSpan w:val="2"/>
            <w:tcBorders>
              <w:top w:val="single" w:sz="8" w:space="0" w:color="355E91"/>
            </w:tcBorders>
            <w:shd w:val="clear" w:color="auto" w:fill="E2F0F3"/>
            <w:vAlign w:val="center"/>
          </w:tcPr>
          <w:p>
            <w:pPr>
              <w:bidi/>
              <w:spacing w:before="0" w:after="0" w:line="246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2F7F95"/>
                <w:sz w:val="16"/>
                <w:szCs w:val="16"/>
                <w:rtl/>
              </w:rPr>
              <w:t>النسبة: ........ ٪</w:t>
            </w:r>
          </w:p>
        </w:tc>
      </w:tr>
    </w:tbl>
    <w:p>
      <w:pPr>
        <w:bidi/>
        <w:spacing w:before="60" w:after="60" w:line="250" w:lineRule="exact"/>
        <w:jc w:val="center"/>
      </w:pP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>تُشتقّ منها درجة المؤشر م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٢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· </w:t>
      </w:r>
      <w:r>
        <w:rPr>
          <w:rFonts w:ascii="Sakkal Majalla" w:hAnsi="Sakkal Majalla" w:cs="Sakkal Majalla" w:eastAsia="Sakkal Majalla"/>
          <w:b/>
          <w:color w:val="355E91"/>
          <w:sz w:val="20"/>
          <w:szCs w:val="20"/>
          <w:bCs/>
          <w:rtl/>
        </w:rPr>
        <w:t>٣</w:t>
      </w:r>
      <w:r>
        <w:rPr>
          <w:rFonts w:ascii="Al-Jazeera-Arabic-Bold" w:hAnsi="Al-Jazeera-Arabic-Bold" w:cs="Al-Jazeera-Arabic-Bold" w:eastAsia="Al-Jazeera-Arabic-Bold"/>
          <w:b w:val="0"/>
          <w:color w:val="355E91"/>
          <w:sz w:val="16"/>
          <w:szCs w:val="16"/>
          <w:rtl/>
        </w:rPr>
        <w:t xml:space="preserve"> في استمارة الملاحظة الصفية:  </w:t>
      </w:r>
      <w:r>
        <w:rPr>
          <w:rFonts w:ascii="Sakkal Majalla" w:hAnsi="Sakkal Majalla" w:cs="Sakkal Majalla" w:eastAsia="Sakkal Majalla"/>
          <w:b w:val="0"/>
          <w:color w:val="1A1A1A"/>
          <w:sz w:val="20"/>
          <w:szCs w:val="20"/>
          <w:rtl/>
        </w:rPr>
        <w:t>٩٠٪ فأعلى ← ٤   ·   ٧٥ إلى أقل من ٩٠ ← ٣   ·   ٥٠ إلى أقل من ٧٥ ← ٢   ·   أقل من ٥٠ ← ١</w:t>
      </w: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2494"/>
        <w:gridCol w:w="8276"/>
      </w:tblGrid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إيجابيات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  <w:tr>
        <w:trPr>
          <w:cantSplit/>
          <w:trHeight w:val="1247" w:hRule="atLeast"/>
        </w:trPr>
        <w:tc>
          <w:tcPr>
            <w:tcW w:w="1157" w:type="pc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نقاط للتأمل</w:t>
            </w:r>
          </w:p>
        </w:tc>
        <w:tc>
          <w:tcPr>
            <w:tcW w:w="3842" w:type="pct"/>
            <w:vAlign w:val="center"/>
          </w:tcPr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/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١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٢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٣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٤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  <w:p>
            <w:pPr>
              <w:tabs>
                <w:tab w:val="left" w:leader="dot" w:pos="8107"/>
              </w:tabs>
              <w:bidi/>
              <w:spacing w:after="0" w:line="360" w:lineRule="auto"/>
            </w:pP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 xml:space="preserve">٥ </w:t>
            </w:r>
            <w:r>
              <w:rPr>
                <w:rFonts w:ascii="Sakkal Majalla" w:hAnsi="Sakkal Majalla" w:cs="Sakkal Majalla" w:eastAsia="Sakkal Majalla"/>
                <w:b w:val="0"/>
                <w:color w:val="7F7F7F"/>
                <w:sz w:val="19"/>
                <w:szCs w:val="19"/>
                <w:rtl/>
              </w:rPr>
              <w:tab/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927"/>
        <w:gridCol w:w="2947"/>
        <w:gridCol w:w="2947"/>
        <w:gridCol w:w="2947"/>
      </w:tblGrid>
      <w:tr>
        <w:trPr>
          <w:cantSplit/>
          <w:trHeight w:val="351" w:hRule="atLeast"/>
        </w:trPr>
        <w:tc>
          <w:tcPr>
            <w:tcW w:w="894" w:type="pct"/>
            <w:vMerge w:val="restart"/>
            <w:shd w:val="clear" w:color="auto" w:fill="E9EEF6"/>
            <w:vAlign w:val="center"/>
          </w:tcPr>
          <w:p>
            <w:pPr>
              <w:bidi/>
              <w:spacing w:before="0" w:after="0" w:line="272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8"/>
                <w:szCs w:val="18"/>
                <w:rtl/>
              </w:rPr>
              <w:t>البرنامج العلاجي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قراءة موجهة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نشرات تربوية</w:t>
            </w:r>
          </w:p>
        </w:tc>
        <w:tc>
          <w:tcPr>
            <w:tcW w:w="1368" w:type="pct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زيارات متبادلة</w:t>
            </w:r>
          </w:p>
        </w:tc>
      </w:tr>
      <w:tr>
        <w:trPr>
          <w:cantSplit/>
          <w:trHeight w:val="351" w:hRule="atLeast"/>
        </w:trPr>
        <w:tc>
          <w:tcPr>
            <w:tcW w:w="894" w:type="pct"/>
            <w:vMerge/>
          </w:tcPr>
          <w:p/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حصص نموذجية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برنامج تدريبي</w:t>
            </w:r>
          </w:p>
        </w:tc>
        <w:tc>
          <w:tcPr>
            <w:tcW w:w="1368" w:type="pct"/>
            <w:shd w:val="clear" w:color="auto" w:fill="F6F8FB"/>
            <w:vAlign w:val="center"/>
          </w:tcPr>
          <w:p>
            <w:pPr>
              <w:bidi/>
              <w:spacing w:before="0" w:after="0" w:line="246" w:lineRule="exact"/>
            </w:pPr>
            <w:r/>
            <w:r>
              <w:rPr>
                <w:rFonts w:ascii="Sakkal Majalla" w:hAnsi="Sakkal Majalla" w:cs="Sakkal Majalla" w:eastAsia="Sakkal Majalla"/>
                <w:b w:val="0"/>
                <w:color w:val="1A1A1A"/>
                <w:sz w:val="20"/>
                <w:szCs w:val="20"/>
                <w:rtl/>
              </w:rPr>
              <w:t>☐  أخرى: ........</w:t>
            </w:r>
          </w:p>
        </w:tc>
      </w:tr>
    </w:tbl>
    <w:p>
      <w:pPr>
        <w:bidi/>
        <w:spacing w:before="0" w:after="0" w:line="92" w:lineRule="exact"/>
      </w:pPr>
    </w:p>
    <w:tbl>
      <w:tblPr>
        <w:bidiVisual/>
        <w:tblW w:w="5000" w:type="pct"/>
        <w:jc w:val="center"/>
        <w:tblBorders>
          <w:top w:val="single" w:sz="16" w:space="0" w:color="355E91"/>
          <w:left w:val="single" w:sz="16" w:space="0" w:color="355E91"/>
          <w:bottom w:val="single" w:sz="16" w:space="0" w:color="355E91"/>
          <w:right w:val="single" w:sz="16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303"/>
        <w:gridCol w:w="1814"/>
        <w:gridCol w:w="850"/>
        <w:gridCol w:w="1247"/>
        <w:gridCol w:w="2380"/>
        <w:gridCol w:w="1247"/>
        <w:gridCol w:w="850"/>
        <w:gridCol w:w="1077"/>
      </w:tblGrid>
      <w:tr>
        <w:trPr>
          <w:cantSplit/>
          <w:trHeight w:val="589" w:hRule="atLeast"/>
        </w:trPr>
        <w:tc>
          <w:tcPr>
            <w:tcW w:w="6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المعلم المنفذ</w:t>
            </w:r>
          </w:p>
        </w:tc>
        <w:tc>
          <w:tcPr>
            <w:tcW w:w="842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1105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الزائر: المدير / الوكيل / المشرف</w:t>
            </w:r>
          </w:p>
        </w:tc>
        <w:tc>
          <w:tcPr>
            <w:tcW w:w="578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  <w:tc>
          <w:tcPr>
            <w:tcW w:w="394" w:type="pct"/>
            <w:shd w:val="clear" w:color="auto" w:fill="E9EEF6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  <w:r>
              <w:rPr>
                <w:rFonts w:ascii="Al-Jazeera-Arabic-Bold" w:hAnsi="Al-Jazeera-Arabic-Bold" w:cs="Al-Jazeera-Arabic-Bold" w:eastAsia="Al-Jazeera-Arabic-Bold"/>
                <w:b w:val="0"/>
                <w:color w:val="355E91"/>
                <w:sz w:val="15"/>
                <w:szCs w:val="15"/>
                <w:rtl/>
              </w:rPr>
              <w:t>التوقيع</w:t>
            </w:r>
          </w:p>
        </w:tc>
        <w:tc>
          <w:tcPr>
            <w:tcW w:w="499" w:type="pct"/>
            <w:vAlign w:val="center"/>
          </w:tcPr>
          <w:p>
            <w:pPr>
              <w:bidi/>
              <w:spacing w:before="0" w:after="0" w:line="228" w:lineRule="exact"/>
              <w:jc w:val="center"/>
            </w:pPr>
            <w:r/>
          </w:p>
        </w:tc>
      </w:tr>
    </w:tbl>
    <w:p>
      <w:pPr>
        <w:bidi/>
        <w:spacing w:before="0" w:after="0" w:line="22" w:lineRule="exact"/>
      </w:pPr>
      <w:r>
        <w:rPr>
          <w:rFonts w:ascii="Sakkal Majalla" w:hAnsi="Sakkal Majalla" w:cs="Sakkal Majalla" w:eastAsia="Sakkal Majalla"/>
          <w:b w:val="0"/>
          <w:sz w:val="2"/>
          <w:szCs w:val="2"/>
          <w:rtl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spacing w:before="0" w:after="0"/>
      <w:jc w:val="center"/>
    </w:pPr>
    <w:r/>
    <w:r>
      <w:rPr>
        <w:rFonts w:ascii="Sakkal Majalla" w:hAnsi="Sakkal Majalla" w:cs="Sakkal Majalla" w:eastAsia="Sakkal Majalla"/>
        <w:b w:val="0"/>
        <w:color w:val="7F7F7F"/>
        <w:sz w:val="17"/>
        <w:szCs w:val="17"/>
        <w:rtl/>
      </w:rPr>
      <w:t>بطاقة تشخيص أداء المعلّم — جيكسو   ·   مدارس ابن خلدون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Al-Jazeera-Arabic-Bold" w:hAnsi="Al-Jazeera-Arabic-Bold" w:cs="Al-Jazeera-Arabic-Bold" w:eastAsia="Al-Jazeera-Arabic-Bold"/>
        <w:b w:val="0"/>
        <w:color w:val="FFFFFF"/>
        <w:sz w:val="32"/>
        <w:szCs w:val="32"/>
        <w:rtl/>
      </w:rPr>
      <w:t>بطاقة تشخيص أداء المعلّم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