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>آلية الجدولة والزيارة  ·  من التحضير إلى الدرجة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p>
      <w:pPr>
        <w:keepNext/>
        <w:pBdr>
          <w:bottom w:val="single" w:sz="8" w:space="1" w:color="2F7F95"/>
        </w:pBdr>
        <w:bidi/>
        <w:spacing w:before="6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ما الحصة الموحَّدة؟</w:t>
      </w:r>
    </w:p>
    <w:p>
      <w:pPr>
        <w:bidi/>
        <w:spacing w:before="0" w:after="80"/>
      </w:pP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حصةٌ عادية من جدول المعلمة، تُعلن فيها اتجاهها التدريسي وإستراتيجيتها، وتحضرها المقيّمات والزميلات. وليست «حصة تطبيقية» تُعدّ للعرض: ما يراه فريق التقويم الخارجي يجب أن يكون حال المدرسة لا استثناءها.</w:t>
      </w:r>
    </w:p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من تحضر كل حصة؟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07"/>
        <w:gridCol w:w="8163"/>
      </w:tblGrid>
      <w:tr>
        <w:trPr>
          <w:cantSplit/>
          <w:trHeight w:val="260" w:hRule="atLeast"/>
        </w:trPr>
        <w:tc>
          <w:tcPr>
            <w:tcW w:w="1210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الدور</w:t>
            </w:r>
          </w:p>
        </w:tc>
        <w:tc>
          <w:tcPr>
            <w:tcW w:w="3789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ما تفعله في الحصة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المشرفة المختصة</w:t>
            </w:r>
          </w:p>
        </w:tc>
        <w:tc>
          <w:tcPr>
            <w:tcW w:w="3789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ترصد الاستمارة وبطاقة الاستراتيجية وتعتمد النتيجة — وهي المقيّمة وحدَها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مديرة المدرسة</w:t>
            </w:r>
          </w:p>
        </w:tc>
        <w:tc>
          <w:tcPr>
            <w:tcW w:w="3789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تطّلع على حصص مدرستها ونتائجها وتعلّق — ولا ترصد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الوكيلة التعليمية</w:t>
            </w:r>
          </w:p>
        </w:tc>
        <w:tc>
          <w:tcPr>
            <w:tcW w:w="3789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تتأكّد من تسجيل كل معلماتها حصصهنّ، وتُسنِد المعلمتين الزائرتين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معلمتان زائرتان</w:t>
            </w:r>
          </w:p>
        </w:tc>
        <w:tc>
          <w:tcPr>
            <w:tcW w:w="3789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تملأ كلٌّ بطاقة زيارة القرينات، وتنقل إجراءً واحداً لنفسها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الفريق المعاون</w:t>
            </w:r>
          </w:p>
        </w:tc>
        <w:tc>
          <w:tcPr>
            <w:tcW w:w="3789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لتخصصٍ لا مشرفة له: ترصد الوكيلة أو مديرة المدرسة أو مديرة المجمع، ويتابع فريق التقويم الداخلي</w:t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خمس قواعد تضبط الجدول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المقيّمة واحدة: المشرفة المختصة لتخصص الحصة. ومعها معلمتان زائرتان، والمديرة والوكيلة تتابعان ولا ترصدان — إلا حين لا مشرفة للتخصص فترصد إحداهما أو مديرة المجمع.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لا يتجاوز عبء المقيّمة حصتين في اليوم، فالتقدير يضعف مع الإرهاق.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لا تُجدول حصتان لمعلمة واحدة في أسبوع واحد؛ والثلث الأضعف يُزار مرتين في الفصل.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دوران المشرفات يضع كل مشرفة في مجمع واحد كل يوم، فتُغطّى حصص تخصصها في المجمعات كلها.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ترصد الحصة ثلاث نتائج: الاستمارة من ٢٠٠ · بطاقة الاستراتيجية من ١٠٠ · إجراء واحد في بطاقة الجسر.</w:t>
      </w:r>
    </w:p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دوران المشرفات على المجمعات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جدولُ الأسبوع السادس — ويزحف يوماً واحداً في كل أسبوع بعده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834"/>
        <w:gridCol w:w="1984"/>
        <w:gridCol w:w="1984"/>
        <w:gridCol w:w="1984"/>
        <w:gridCol w:w="1984"/>
      </w:tblGrid>
      <w:tr>
        <w:trPr>
          <w:cantSplit/>
          <w:trHeight w:val="260" w:hRule="atLeast"/>
        </w:trPr>
        <w:tc>
          <w:tcPr>
            <w:tcW w:w="1315" w:type="pct"/>
            <w:shd w:val="clear" w:color="auto" w:fill="D9D9D9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التخصص \ اليوم</w:t>
            </w:r>
          </w:p>
        </w:tc>
        <w:tc>
          <w:tcPr>
            <w:tcW w:w="921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الأحد</w:t>
            </w:r>
          </w:p>
        </w:tc>
        <w:tc>
          <w:tcPr>
            <w:tcW w:w="921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الاثنين</w:t>
            </w:r>
          </w:p>
        </w:tc>
        <w:tc>
          <w:tcPr>
            <w:tcW w:w="921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الثلاثاء</w:t>
            </w:r>
          </w:p>
        </w:tc>
        <w:tc>
          <w:tcPr>
            <w:tcW w:w="921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الخميس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لغتي + إسلامية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—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رياضيات واجتماعيات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—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علوم + حاسب آلي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—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E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—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الهوية الوطنية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مسار الحصة من التحضير إلى الدرجة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040"/>
        <w:gridCol w:w="8730"/>
      </w:tblGrid>
      <w:tr>
        <w:trPr>
          <w:cantSplit/>
          <w:trHeight w:val="260" w:hRule="atLeast"/>
        </w:trPr>
        <w:tc>
          <w:tcPr>
            <w:tcW w:w="947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المرحلة</w:t>
            </w:r>
          </w:p>
        </w:tc>
        <w:tc>
          <w:tcPr>
            <w:tcW w:w="4052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ما يحدث فيها</w:t>
            </w:r>
          </w:p>
        </w:tc>
      </w:tr>
      <w:tr>
        <w:trPr>
          <w:cantSplit/>
          <w:trHeight w:val="294" w:hRule="atLeast"/>
        </w:trPr>
        <w:tc>
          <w:tcPr>
            <w:tcW w:w="947" w:type="pct"/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>قبل الحصة</w:t>
            </w:r>
          </w:p>
        </w:tc>
        <w:tc>
          <w:tcPr>
            <w:tcW w:w="4052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تسلّم المعلمة نموذج التحضير معلنةً اتجاهها وإستراتيجيتها</w:t>
            </w:r>
          </w:p>
        </w:tc>
      </w:tr>
      <w:tr>
        <w:trPr>
          <w:cantSplit/>
          <w:trHeight w:val="294" w:hRule="atLeast"/>
        </w:trPr>
        <w:tc>
          <w:tcPr>
            <w:tcW w:w="947" w:type="pct"/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>في الحصة</w:t>
            </w:r>
          </w:p>
        </w:tc>
        <w:tc>
          <w:tcPr>
            <w:tcW w:w="4052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ترصد المشرفة المختصة الاستمارة (٢٠٠) وبطاقة الاستراتيجية (١٠٠)، وتكتب الزميلات بطاقاتهن</w:t>
            </w:r>
          </w:p>
        </w:tc>
      </w:tr>
      <w:tr>
        <w:trPr>
          <w:cantSplit/>
          <w:trHeight w:val="294" w:hRule="atLeast"/>
        </w:trPr>
        <w:tc>
          <w:tcPr>
            <w:tcW w:w="947" w:type="pct"/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>بعد الحصة</w:t>
            </w:r>
          </w:p>
        </w:tc>
        <w:tc>
          <w:tcPr>
            <w:tcW w:w="4052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جلسة تغذية راجعة في اليوم نفسه أو التالي، تنتهي بإجراء واحد في بطاقة الجسر</w:t>
            </w:r>
          </w:p>
        </w:tc>
      </w:tr>
      <w:tr>
        <w:trPr>
          <w:cantSplit/>
          <w:trHeight w:val="294" w:hRule="atLeast"/>
        </w:trPr>
        <w:tc>
          <w:tcPr>
            <w:tcW w:w="947" w:type="pct"/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>الزيارة القادمة</w:t>
            </w:r>
          </w:p>
        </w:tc>
        <w:tc>
          <w:tcPr>
            <w:tcW w:w="4052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تبدأ الزائرة بالتحقق من تنفيذ الإجراء السابق قبل رصد أي شيء جديد</w:t>
            </w:r>
          </w:p>
        </w:tc>
      </w:tr>
    </w:tbl>
    <w:p>
      <w:pPr>
        <w:bidi/>
        <w:spacing w:before="60" w:after="0" w:line="228" w:lineRule="exact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>الجدول القابل للتعبئة في ملف: «جداول الحصص الموحَّدة» — ورقة «جدول المدرسة»</w:t>
      </w:r>
    </w:p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آلية الحصص الموحَّدة —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الحصص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