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Peer Teacher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teacher assigned to visit a colleague's unified lesson</w:t>
      </w:r>
    </w:p>
    <w:p>
      <w:pPr>
        <w:spacing w:before="40" w:after="120"/>
      </w:pPr>
      <w:r>
        <w:rPr>
          <w:rFonts w:ascii="Helvetica Neue" w:hAnsi="Helvetica Neue" w:cs="Helvetica Neue" w:eastAsia="Helvetica Neue"/>
          <w:b w:val="0"/>
          <w:color w:val="1A1A1A"/>
          <w:sz w:val="20"/>
          <w:szCs w:val="20"/>
          <w:rtl w:val="0"/>
        </w:rPr>
        <w:t xml:space="preserve">Your visit is neither an inspection nor a grade: you read your colleague's plan, attend the lesson, and leave with one action </w:t>
      </w:r>
      <w:r>
        <w:rPr>
          <w:rFonts w:ascii="Helvetica Neue" w:hAnsi="Helvetica Neue" w:cs="Helvetica Neue" w:eastAsia="Helvetica Neue"/>
          <w:b/>
          <w:color w:val="1A1A1A"/>
          <w:sz w:val="20"/>
          <w:szCs w:val="20"/>
          <w:bCs/>
          <w:rtl w:val="0"/>
        </w:rPr>
        <w:t>you take for yourself</w:t>
      </w:r>
      <w:r>
        <w:rPr>
          <w:rFonts w:ascii="Helvetica Neue" w:hAnsi="Helvetica Neue" w:cs="Helvetica Neue" w:eastAsia="Helvetica Neue"/>
          <w:b w:val="0"/>
          <w:color w:val="1A1A1A"/>
          <w:sz w:val="20"/>
          <w:szCs w:val="20"/>
          <w:rtl w:val="0"/>
        </w:rPr>
        <w:t>. Your sidebar is four steps in the order of your visit.</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with your role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“Peer teacher” card and enter your staff number.</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Do not choose the “Teaching teacher” card — each role has its own screens.</w:t>
      </w: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Start from “My assigned visits”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first thing you open: what has been assigned to you, with its time, its school, your colleague's name and the state of their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A counter in the sidebar tells you how many visits await your card.</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No visit appears until the school's academic deputy assigns it — ask them if it is late.</w:t>
            </w:r>
          </w:p>
        </w:tc>
      </w:tr>
    </w:tbl>
    <w:p>
      <w:pPr>
        <w:spacing w:before="0" w:after="80"/>
      </w:pPr>
    </w:p>
    <w:p>
      <w:pPr>
        <w:spacing w:before="40" w:after="80"/>
        <w:jc w:val="center"/>
      </w:pPr>
      <w:r>
        <w:drawing>
          <wp:inline xmlns:a="http://schemas.openxmlformats.org/drawingml/2006/main" xmlns:pic="http://schemas.openxmlformats.org/drawingml/2006/picture">
            <wp:extent cx="6408000" cy="3879760"/>
            <wp:docPr id="2" name="Picture 2"/>
            <wp:cNvGraphicFramePr>
              <a:graphicFrameLocks noChangeAspect="1"/>
            </wp:cNvGraphicFramePr>
            <a:graphic>
              <a:graphicData uri="http://schemas.openxmlformats.org/drawingml/2006/picture">
                <pic:pic>
                  <pic:nvPicPr>
                    <pic:cNvPr id="0" name="p_visits.png"/>
                    <pic:cNvPicPr/>
                  </pic:nvPicPr>
                  <pic:blipFill>
                    <a:blip r:embed="rId11"/>
                    <a:stretch>
                      <a:fillRect/>
                    </a:stretch>
                  </pic:blipFill>
                  <pic:spPr>
                    <a:xfrm>
                      <a:off x="0" y="0"/>
                      <a:ext cx="6408000" cy="387976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Read your colleague's plan before you go in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second stage is “Your colleague's plan”: a sheet with what will be delivered in the lesson.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time map, its stages and the strategy card — read before entering.</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Print it or open it on your phone so it is at hand during the lesson.</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p_read.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Fill the visit card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third stage is “Visit card”, and it is short: what happened, what helped you, and what you will apply.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Fill it during the lesson or straight afterwards — most of what is written days later is lost.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No observer rubric falls to you and no indicators are rated — that is not your part.</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p_card.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Carry your action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last stage is “Your own action”: a commitment to yourself, not a judgement on your colleague.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One specific action that can be seen in your next lesson — that is what is followed up with you.</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lesson result appears if the observers recorded it — to read, not to edit.</w:t>
      </w:r>
    </w:p>
    <w:p>
      <w:pPr>
        <w:spacing w:before="40" w:after="80"/>
        <w:jc w:val="center"/>
      </w:pPr>
      <w:r>
        <w:drawing>
          <wp:inline xmlns:a="http://schemas.openxmlformats.org/drawingml/2006/main" xmlns:pic="http://schemas.openxmlformats.org/drawingml/2006/picture">
            <wp:extent cx="6142291" cy="3960000"/>
            <wp:docPr id="5" name="Picture 5"/>
            <wp:cNvGraphicFramePr>
              <a:graphicFrameLocks noChangeAspect="1"/>
            </wp:cNvGraphicFramePr>
            <a:graphic>
              <a:graphicData uri="http://schemas.openxmlformats.org/drawingml/2006/picture">
                <pic:pic>
                  <pic:nvPicPr>
                    <pic:cNvPr id="0" name="p_result.png"/>
                    <pic:cNvPicPr/>
                  </pic:nvPicPr>
                  <pic:blipFill>
                    <a:blip r:embed="rId14"/>
                    <a:stretch>
                      <a:fillRect/>
                    </a:stretch>
                  </pic:blipFill>
                  <pic:spPr>
                    <a:xfrm>
                      <a:off x="0" y="0"/>
                      <a:ext cx="6142291"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No visits are assigned to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is by the academic deputy, using staff numbers. Check you signed in with your own number.</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cannot find the entry grid</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Because you do not schedule anything. Your sidebar is four steps only, and that is deliberate.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How many visits do I owe?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Two per term — the counter in the sidebar says what is left.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Do I give my colleague a grade?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No. Grading is for the observers; your card is description and benefit.</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