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center"/>
      </w:pPr>
      <w:r>
        <w:rPr>
          <w:rFonts w:ascii="Helvetica Neue" w:hAnsi="Helvetica Neue" w:cs="Helvetica Neue" w:eastAsia="Helvetica Neue"/>
          <w:b w:val="0"/>
          <w:color w:val="C00000"/>
          <w:sz w:val="14"/>
          <w:szCs w:val="14"/>
          <w:rtl w:val="0"/>
        </w:rPr>
        <w:t xml:space="preserve">◆  </w:t>
      </w:r>
      <w:r>
        <w:rPr>
          <w:rFonts w:ascii="Helvetica Neue" w:hAnsi="Helvetica Neue" w:cs="Helvetica Neue" w:eastAsia="Helvetica Neue"/>
          <w:b/>
          <w:color w:val="C00000"/>
          <w:sz w:val="26"/>
          <w:szCs w:val="26"/>
          <w:bCs/>
          <w:rtl w:val="0"/>
        </w:rPr>
        <w:t>Platform User Guide — School Principal</w:t>
      </w:r>
      <w:r>
        <w:rPr>
          <w:rFonts w:ascii="Helvetica Neue" w:hAnsi="Helvetica Neue" w:cs="Helvetica Neue" w:eastAsia="Helvetica Neue"/>
          <w:b w:val="0"/>
          <w:color w:val="C00000"/>
          <w:sz w:val="14"/>
          <w:szCs w:val="14"/>
          <w:rtl w:val="0"/>
        </w:rPr>
        <w:t xml:space="preserve">  ◆</w:t>
      </w:r>
    </w:p>
    <w:p>
      <w:pPr>
        <w:spacing w:before="0" w:after="120"/>
        <w:jc w:val="center"/>
      </w:pPr>
      <w:r>
        <w:rPr>
          <w:rFonts w:ascii="Helvetica Neue" w:hAnsi="Helvetica Neue" w:cs="Helvetica Neue" w:eastAsia="Helvetica Neue"/>
          <w:b/>
          <w:color w:val="355E91"/>
          <w:sz w:val="19"/>
          <w:szCs w:val="19"/>
          <w:bCs/>
          <w:rtl w:val="0"/>
        </w:rPr>
        <w:t>For: the school principal — whose scope is their own school alone</w:t>
      </w:r>
    </w:p>
    <w:p>
      <w:pPr>
        <w:spacing w:before="40" w:after="120"/>
      </w:pPr>
      <w:r>
        <w:rPr>
          <w:rFonts w:ascii="Helvetica Neue" w:hAnsi="Helvetica Neue" w:cs="Helvetica Neue" w:eastAsia="Helvetica Neue"/>
          <w:b w:val="0"/>
          <w:color w:val="1A1A1A"/>
          <w:sz w:val="20"/>
          <w:szCs w:val="20"/>
          <w:rtl w:val="0"/>
        </w:rPr>
        <w:t>The platform learns your school the first time you sign in and fixes it: you do not choose a complex or a stage on every screen, and you never see another school's schedule.</w:t>
      </w:r>
    </w:p>
    <w:tbl>
      <w:tblPr>
        <w:bidiVisual/>
        <w:tblW w:w="5000" w:type="pct"/>
        <w:jc w:val="center"/>
        <w:tblBorders>
          <w:top w:val="single" w:sz="8" w:space="0" w:color="2F7F95"/>
          <w:left w:val="single" w:sz="8" w:space="0" w:color="2F7F95"/>
          <w:bottom w:val="single" w:sz="8" w:space="0" w:color="2F7F95"/>
          <w:right w:val="single" w:sz="8" w:space="0" w:color="2F7F95"/>
          <w:insideH w:val="single" w:sz="2" w:space="0" w:color="2F7F95"/>
          <w:insideV w:val="single" w:sz="2" w:space="0" w:color="2F7F95"/>
        </w:tblBorders>
        <w:tblLayout w:type="fixed"/>
        <w:tblCellMar>
          <w:top w:w="14" w:type="dxa"/>
          <w:left w:w="70" w:type="dxa"/>
          <w:bottom w:w="14" w:type="dxa"/>
          <w:right w:w="70" w:type="dxa"/>
        </w:tblCellMar>
        <w:tblLook w:firstColumn="1" w:firstRow="1" w:lastColumn="0" w:lastRow="0" w:noHBand="0" w:noVBand="1" w:val="04A0"/>
      </w:tblPr>
      <w:tblGrid>
        <w:gridCol w:w="10771"/>
      </w:tblGrid>
      <w:tr>
        <w:tc>
          <w:tcPr>
            <w:tcW w:w="5000" w:type="pct"/>
            <w:shd w:val="clear" w:color="auto" w:fill="2F7F95"/>
            <w:vAlign w:val="center"/>
          </w:tcPr>
          <w:p>
            <w:pPr>
              <w:spacing w:before="0" w:after="0" w:line="264" w:lineRule="exact"/>
            </w:pPr>
            <w:r/>
            <w:r>
              <w:rPr>
                <w:rFonts w:ascii="Helvetica Neue" w:hAnsi="Helvetica Neue" w:cs="Helvetica Neue" w:eastAsia="Helvetica Neue"/>
                <w:b/>
                <w:color w:val="FFFFFF"/>
                <w:sz w:val="20"/>
                <w:szCs w:val="20"/>
                <w:bCs/>
                <w:rtl w:val="0"/>
              </w:rPr>
              <w:t>Before you start — four things that concern everyone</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1.  Open the link — https://ahseyam.github.io/unified-lesson/</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2.  Switch to English — the EN button, top right</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3.  Choose your role — one card per role</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4.  Enter your staff number — you are identified by it, not by your name</w:t>
            </w:r>
          </w:p>
        </w:tc>
      </w:tr>
    </w:tbl>
    <w:p>
      <w:pPr>
        <w:spacing w:before="0" w:after="100"/>
      </w:pP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Open the link: It runs on phone, laptop and tablet with nothing to install. Bookmark it — it is your single reference; do not rely on a copy someone sends you, or you will be working from yesterday's data.</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Switch to English: Press it once and the choice is remembered on your device. Arabic is the default for everyone, so nothing changes for your Arabic-speaking colleagues. You may enter your own text in English or Arabic — both are kept as typed.</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Choose your role: Each role sees only what concerns it: its own buttons, screens and reports. You will not see what is not yours, and you cannot press a button that destroys someone else's work.</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Enter your staff number: Names repeat and are spelled in different ways, so the same person appears twice in the reports. If your number is on the roster, your name and subject are filled in for you.</w:t>
      </w:r>
    </w:p>
    <w:p>
      <w:pPr>
        <w:keepNext/>
        <w:pBdr>
          <w:bottom w:val="single" w:sz="8" w:space="1" w:color="2F7F95"/>
        </w:pBdr>
        <w:spacing w:before="140" w:after="40"/>
      </w:pPr>
      <w:r>
        <w:rPr>
          <w:rFonts w:ascii="Helvetica Neue" w:hAnsi="Helvetica Neue" w:cs="Helvetica Neue" w:eastAsia="Helvetica Neue"/>
          <w:b/>
          <w:color w:val="C00000"/>
          <w:sz w:val="22"/>
          <w:szCs w:val="22"/>
          <w:bCs/>
          <w:rtl w:val="0"/>
        </w:rPr>
        <w:t>❖  Step by step — with pictures</w:t>
      </w:r>
      <w:r>
        <w:rPr>
          <w:rFonts w:ascii="Helvetica Neue" w:hAnsi="Helvetica Neue" w:cs="Helvetica Neue" w:eastAsia="Helvetica Neue"/>
          <w:b w:val="0"/>
          <w:color w:val="7F7F7F"/>
          <w:sz w:val="16"/>
          <w:szCs w:val="16"/>
          <w:rtl w:val="0"/>
        </w:rPr>
        <w:t xml:space="preserve">    every screenshot is taken from the platform itself, not drawn or imagined</w:t>
      </w:r>
    </w:p>
    <w:p>
      <w:pPr>
        <w:keepNext/>
        <w:spacing w:before="40" w:after="40"/>
      </w:pPr>
      <w:r>
        <w:rPr>
          <w:rFonts w:ascii="Helvetica Neue" w:hAnsi="Helvetica Neue" w:cs="Helvetica Neue" w:eastAsia="Helvetica Neue"/>
          <w:b/>
          <w:color w:val="2F7F95"/>
          <w:sz w:val="26"/>
          <w:szCs w:val="26"/>
          <w:bCs/>
          <w:rtl w:val="0"/>
        </w:rPr>
        <w:t>1</w:t>
      </w:r>
      <w:r>
        <w:rPr>
          <w:rFonts w:ascii="Helvetica Neue" w:hAnsi="Helvetica Neue" w:cs="Helvetica Neue" w:eastAsia="Helvetica Neue"/>
          <w:b/>
          <w:color w:val="355E91"/>
          <w:sz w:val="22"/>
          <w:szCs w:val="22"/>
          <w:bCs/>
          <w:rtl w:val="0"/>
        </w:rPr>
        <w:t xml:space="preserve">  Sign in and choose your school once</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Choose the “School principal” card; you are asked for the sector, the complex and the school.</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It is then fixed for you — to change it, sign out and sign in again.</w:t>
      </w:r>
    </w:p>
    <w:p>
      <w:pPr>
        <w:spacing w:before="40" w:after="80"/>
        <w:jc w:val="center"/>
      </w:pPr>
      <w:r>
        <w:drawing>
          <wp:inline xmlns:a="http://schemas.openxmlformats.org/drawingml/2006/main" xmlns:pic="http://schemas.openxmlformats.org/drawingml/2006/picture">
            <wp:extent cx="3026308" cy="3960000"/>
            <wp:docPr id="1" name="Picture 1"/>
            <wp:cNvGraphicFramePr>
              <a:graphicFrameLocks noChangeAspect="1"/>
            </wp:cNvGraphicFramePr>
            <a:graphic>
              <a:graphicData uri="http://schemas.openxmlformats.org/drawingml/2006/picture">
                <pic:pic>
                  <pic:nvPicPr>
                    <pic:cNvPr id="0" name="login_prin.png"/>
                    <pic:cNvPicPr/>
                  </pic:nvPicPr>
                  <pic:blipFill>
                    <a:blip r:embed="rId10"/>
                    <a:stretch>
                      <a:fillRect/>
                    </a:stretch>
                  </pic:blipFill>
                  <pic:spPr>
                    <a:xfrm>
                      <a:off x="0" y="0"/>
                      <a:ext cx="3026308"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2</w:t>
      </w:r>
      <w:r>
        <w:rPr>
          <w:rFonts w:ascii="Helvetica Neue" w:hAnsi="Helvetica Neue" w:cs="Helvetica Neue" w:eastAsia="Helvetica Neue"/>
          <w:b/>
          <w:color w:val="355E91"/>
          <w:sz w:val="22"/>
          <w:szCs w:val="22"/>
          <w:bCs/>
          <w:rtl w:val="0"/>
        </w:rPr>
        <w:t xml:space="preserve">  My school's schedule</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You see your school's lessons alone: who has a lesson scheduled, whose plan is complete and whose is not.</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You may type in any cell of your school — completeness is your responsibility.</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Above the schedule, a line says how many names on the roster still have no lesson recorded, and opens their list.</w:t>
      </w:r>
    </w:p>
    <w:p>
      <w:pPr>
        <w:spacing w:before="40" w:after="80"/>
        <w:jc w:val="center"/>
      </w:pPr>
      <w:r>
        <w:drawing>
          <wp:inline xmlns:a="http://schemas.openxmlformats.org/drawingml/2006/main" xmlns:pic="http://schemas.openxmlformats.org/drawingml/2006/picture">
            <wp:extent cx="5934077" cy="3960000"/>
            <wp:docPr id="2" name="Picture 2"/>
            <wp:cNvGraphicFramePr>
              <a:graphicFrameLocks noChangeAspect="1"/>
            </wp:cNvGraphicFramePr>
            <a:graphic>
              <a:graphicData uri="http://schemas.openxmlformats.org/drawingml/2006/picture">
                <pic:pic>
                  <pic:nvPicPr>
                    <pic:cNvPr id="0" name="m_school.png"/>
                    <pic:cNvPicPr/>
                  </pic:nvPicPr>
                  <pic:blipFill>
                    <a:blip r:embed="rId11"/>
                    <a:stretch>
                      <a:fillRect/>
                    </a:stretch>
                  </pic:blipFill>
                  <pic:spPr>
                    <a:xfrm>
                      <a:off x="0" y="0"/>
                      <a:ext cx="5934077"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3</w:t>
      </w:r>
      <w:r>
        <w:rPr>
          <w:rFonts w:ascii="Helvetica Neue" w:hAnsi="Helvetica Neue" w:cs="Helvetica Neue" w:eastAsia="Helvetica Neue"/>
          <w:b/>
          <w:color w:val="355E91"/>
          <w:sz w:val="22"/>
          <w:szCs w:val="22"/>
          <w:bCs/>
          <w:rtl w:val="0"/>
        </w:rPr>
        <w:t xml:space="preserve">  Observe the lesson</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Your capacity on the card is filled from your role — you are not asked for it and it is not changed here.</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Complete the rubric during the lesson: the indicators with their scores, and the evidence with what you saw.</w:t>
      </w:r>
    </w:p>
    <w:tbl>
      <w:tblPr>
        <w:bidiVisual/>
        <w:tblW w:w="5000" w:type="pct"/>
        <w:jc w:val="center"/>
        <w:tblBorders>
          <w:top w:val="single" w:sz="8" w:space="0" w:color="E6B8B8"/>
          <w:left w:val="single" w:sz="8" w:space="0" w:color="E6B8B8"/>
          <w:bottom w:val="single" w:sz="8" w:space="0" w:color="E6B8B8"/>
          <w:right w:val="single" w:sz="8" w:space="0" w:color="E6B8B8"/>
          <w:insideH w:val="single" w:sz="4" w:space="0" w:color="C9D2DE"/>
          <w:insideV w:val="single" w:sz="4" w:space="0" w:color="C9D2DE"/>
        </w:tblBorders>
        <w:tblLayout w:type="fixed"/>
        <w:tblCellMar>
          <w:top w:w="14" w:type="dxa"/>
          <w:left w:w="70" w:type="dxa"/>
          <w:bottom w:w="14" w:type="dxa"/>
          <w:right w:w="70" w:type="dxa"/>
        </w:tblCellMar>
        <w:tblLook w:firstColumn="1" w:firstRow="1" w:lastColumn="0" w:lastRow="0" w:noHBand="0" w:noVBand="1" w:val="04A0"/>
      </w:tblPr>
      <w:tblGrid>
        <w:gridCol w:w="10771"/>
      </w:tblGrid>
      <w:tr>
        <w:trPr>
          <w:cantSplit/>
        </w:trPr>
        <w:tc>
          <w:tcPr>
            <w:tcW w:w="5000" w:type="pct"/>
            <w:shd w:val="clear" w:color="auto" w:fill="FDF3F3"/>
            <w:vAlign w:val="center"/>
          </w:tcPr>
          <w:p>
            <w:pPr>
              <w:spacing w:before="0" w:after="0" w:line="242" w:lineRule="exact"/>
            </w:pPr>
            <w:r/>
            <w:r>
              <w:rPr>
                <w:rFonts w:ascii="Helvetica Neue" w:hAnsi="Helvetica Neue" w:cs="Helvetica Neue" w:eastAsia="Helvetica Neue"/>
                <w:b/>
                <w:color w:val="C00000"/>
                <w:sz w:val="18"/>
                <w:szCs w:val="18"/>
                <w:bCs/>
                <w:rtl w:val="0"/>
              </w:rPr>
              <w:t>⛔  What you write is attributed to you by name in the reports — write it precisely.</w:t>
            </w:r>
          </w:p>
        </w:tc>
      </w:tr>
    </w:tbl>
    <w:p>
      <w:pPr>
        <w:spacing w:before="0" w:after="80"/>
      </w:pPr>
    </w:p>
    <w:p>
      <w:pPr>
        <w:spacing w:before="40" w:after="80"/>
        <w:jc w:val="center"/>
      </w:pPr>
      <w:r>
        <w:drawing>
          <wp:inline xmlns:a="http://schemas.openxmlformats.org/drawingml/2006/main" xmlns:pic="http://schemas.openxmlformats.org/drawingml/2006/picture">
            <wp:extent cx="5993836" cy="3960000"/>
            <wp:docPr id="3" name="Picture 3"/>
            <wp:cNvGraphicFramePr>
              <a:graphicFrameLocks noChangeAspect="1"/>
            </wp:cNvGraphicFramePr>
            <a:graphic>
              <a:graphicData uri="http://schemas.openxmlformats.org/drawingml/2006/picture">
                <pic:pic>
                  <pic:nvPicPr>
                    <pic:cNvPr id="0" name="m_obs.png"/>
                    <pic:cNvPicPr/>
                  </pic:nvPicPr>
                  <pic:blipFill>
                    <a:blip r:embed="rId12"/>
                    <a:stretch>
                      <a:fillRect/>
                    </a:stretch>
                  </pic:blipFill>
                  <pic:spPr>
                    <a:xfrm>
                      <a:off x="0" y="0"/>
                      <a:ext cx="5993836"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4</w:t>
      </w:r>
      <w:r>
        <w:rPr>
          <w:rFonts w:ascii="Helvetica Neue" w:hAnsi="Helvetica Neue" w:cs="Helvetica Neue" w:eastAsia="Helvetica Neue"/>
          <w:b/>
          <w:color w:val="355E91"/>
          <w:sz w:val="22"/>
          <w:szCs w:val="22"/>
          <w:bCs/>
          <w:rtl w:val="0"/>
        </w:rPr>
        <w:t xml:space="preserve">  Approve the result and lock the lesson</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Once the observations are complete, the score, its level and the bridge action appear.</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Approval locks the lesson: after it, the schedule, the plan and the observations cannot be changed.</w:t>
      </w:r>
    </w:p>
    <w:tbl>
      <w:tblPr>
        <w:bidiVisual/>
        <w:tblW w:w="5000" w:type="pct"/>
        <w:jc w:val="center"/>
        <w:tblBorders>
          <w:top w:val="single" w:sz="8" w:space="0" w:color="E6B8B8"/>
          <w:left w:val="single" w:sz="8" w:space="0" w:color="E6B8B8"/>
          <w:bottom w:val="single" w:sz="8" w:space="0" w:color="E6B8B8"/>
          <w:right w:val="single" w:sz="8" w:space="0" w:color="E6B8B8"/>
          <w:insideH w:val="single" w:sz="4" w:space="0" w:color="C9D2DE"/>
          <w:insideV w:val="single" w:sz="4" w:space="0" w:color="C9D2DE"/>
        </w:tblBorders>
        <w:tblLayout w:type="fixed"/>
        <w:tblCellMar>
          <w:top w:w="14" w:type="dxa"/>
          <w:left w:w="70" w:type="dxa"/>
          <w:bottom w:w="14" w:type="dxa"/>
          <w:right w:w="70" w:type="dxa"/>
        </w:tblCellMar>
        <w:tblLook w:firstColumn="1" w:firstRow="1" w:lastColumn="0" w:lastRow="0" w:noHBand="0" w:noVBand="1" w:val="04A0"/>
      </w:tblPr>
      <w:tblGrid>
        <w:gridCol w:w="10771"/>
      </w:tblGrid>
      <w:tr>
        <w:trPr>
          <w:cantSplit/>
        </w:trPr>
        <w:tc>
          <w:tcPr>
            <w:tcW w:w="5000" w:type="pct"/>
            <w:shd w:val="clear" w:color="auto" w:fill="FDF3F3"/>
            <w:vAlign w:val="center"/>
          </w:tcPr>
          <w:p>
            <w:pPr>
              <w:spacing w:before="0" w:after="0" w:line="242" w:lineRule="exact"/>
            </w:pPr>
            <w:r/>
            <w:r>
              <w:rPr>
                <w:rFonts w:ascii="Helvetica Neue" w:hAnsi="Helvetica Neue" w:cs="Helvetica Neue" w:eastAsia="Helvetica Neue"/>
                <w:b/>
                <w:color w:val="C00000"/>
                <w:sz w:val="18"/>
                <w:szCs w:val="18"/>
                <w:bCs/>
                <w:rtl w:val="0"/>
              </w:rPr>
              <w:t>⛔  Do not approve a lesson no one has observed — unlocking requires a confirmation and is recorded in your name.</w:t>
            </w:r>
          </w:p>
        </w:tc>
      </w:tr>
    </w:tbl>
    <w:p>
      <w:pPr>
        <w:spacing w:before="0" w:after="80"/>
      </w:pPr>
    </w:p>
    <w:p>
      <w:pPr>
        <w:spacing w:before="40" w:after="80"/>
        <w:jc w:val="center"/>
      </w:pPr>
      <w:r>
        <w:drawing>
          <wp:inline xmlns:a="http://schemas.openxmlformats.org/drawingml/2006/main" xmlns:pic="http://schemas.openxmlformats.org/drawingml/2006/picture">
            <wp:extent cx="5934077" cy="3960000"/>
            <wp:docPr id="4" name="Picture 4"/>
            <wp:cNvGraphicFramePr>
              <a:graphicFrameLocks noChangeAspect="1"/>
            </wp:cNvGraphicFramePr>
            <a:graphic>
              <a:graphicData uri="http://schemas.openxmlformats.org/drawingml/2006/picture">
                <pic:pic>
                  <pic:nvPicPr>
                    <pic:cNvPr id="0" name="m_approve.png"/>
                    <pic:cNvPicPr/>
                  </pic:nvPicPr>
                  <pic:blipFill>
                    <a:blip r:embed="rId13"/>
                    <a:stretch>
                      <a:fillRect/>
                    </a:stretch>
                  </pic:blipFill>
                  <pic:spPr>
                    <a:xfrm>
                      <a:off x="0" y="0"/>
                      <a:ext cx="5934077"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5</w:t>
      </w:r>
      <w:r>
        <w:rPr>
          <w:rFonts w:ascii="Helvetica Neue" w:hAnsi="Helvetica Neue" w:cs="Helvetica Neue" w:eastAsia="Helvetica Neue"/>
          <w:b/>
          <w:color w:val="355E91"/>
          <w:sz w:val="22"/>
          <w:szCs w:val="22"/>
          <w:bCs/>
          <w:rtl w:val="0"/>
        </w:rPr>
        <w:t xml:space="preserve">  School dashboard and reports</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Activation reports: who planned and who did not, who has been observed and who is waiting.</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Results reports by indicator, by teacher and by stage — exported as CSV for analysis.</w:t>
      </w:r>
    </w:p>
    <w:p>
      <w:pPr>
        <w:spacing w:before="40" w:after="80"/>
        <w:jc w:val="center"/>
      </w:pPr>
      <w:r>
        <w:drawing>
          <wp:inline xmlns:a="http://schemas.openxmlformats.org/drawingml/2006/main" xmlns:pic="http://schemas.openxmlformats.org/drawingml/2006/picture">
            <wp:extent cx="5934077" cy="3960000"/>
            <wp:docPr id="5" name="Picture 5"/>
            <wp:cNvGraphicFramePr>
              <a:graphicFrameLocks noChangeAspect="1"/>
            </wp:cNvGraphicFramePr>
            <a:graphic>
              <a:graphicData uri="http://schemas.openxmlformats.org/drawingml/2006/picture">
                <pic:pic>
                  <pic:nvPicPr>
                    <pic:cNvPr id="0" name="m_reports.png"/>
                    <pic:cNvPicPr/>
                  </pic:nvPicPr>
                  <pic:blipFill>
                    <a:blip r:embed="rId14"/>
                    <a:stretch>
                      <a:fillRect/>
                    </a:stretch>
                  </pic:blipFill>
                  <pic:spPr>
                    <a:xfrm>
                      <a:off x="0" y="0"/>
                      <a:ext cx="5934077"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pBdr>
          <w:bottom w:val="single" w:sz="8" w:space="1" w:color="2F7F95"/>
        </w:pBdr>
        <w:spacing w:before="140" w:after="40"/>
      </w:pPr>
      <w:r>
        <w:rPr>
          <w:rFonts w:ascii="Helvetica Neue" w:hAnsi="Helvetica Neue" w:cs="Helvetica Neue" w:eastAsia="Helvetica Neue"/>
          <w:b/>
          <w:color w:val="C00000"/>
          <w:sz w:val="22"/>
          <w:szCs w:val="22"/>
          <w:bCs/>
          <w:rtl w:val="0"/>
        </w:rPr>
        <w:t>❖  Where things usually go wrong</w:t>
      </w:r>
      <w:r>
        <w:rPr>
          <w:rFonts w:ascii="Helvetica Neue" w:hAnsi="Helvetica Neue" w:cs="Helvetica Neue" w:eastAsia="Helvetica Neue"/>
          <w:b w:val="0"/>
          <w:color w:val="7F7F7F"/>
          <w:sz w:val="16"/>
          <w:szCs w:val="16"/>
          <w:rtl w:val="0"/>
        </w:rPr>
        <w:t xml:space="preserve">    before you ask — the most common cases</w:t>
      </w:r>
    </w:p>
    <w:tbl>
      <w:tblPr>
        <w:bidiVisual/>
        <w:tblW w:w="5000" w:type="pct"/>
        <w:jc w:val="center"/>
        <w:tblBorders>
          <w:top w:val="single" w:sz="12" w:space="0" w:color="355E91"/>
          <w:left w:val="single" w:sz="12" w:space="0" w:color="355E91"/>
          <w:bottom w:val="single" w:sz="12" w:space="0" w:color="355E91"/>
          <w:right w:val="single" w:sz="12" w:space="0" w:color="355E91"/>
          <w:insideH w:val="single" w:sz="4" w:space="0" w:color="C9D2DE"/>
          <w:insideV w:val="single" w:sz="4" w:space="0" w:color="C9D2DE"/>
        </w:tblBorders>
        <w:tblLayout w:type="fixed"/>
        <w:tblCellMar>
          <w:top w:w="14" w:type="dxa"/>
          <w:left w:w="70" w:type="dxa"/>
          <w:bottom w:w="14" w:type="dxa"/>
          <w:right w:w="70" w:type="dxa"/>
        </w:tblCellMar>
        <w:tblLook w:firstColumn="1" w:firstRow="1" w:lastColumn="0" w:lastRow="0" w:noHBand="0" w:noVBand="1" w:val="04A0"/>
      </w:tblPr>
      <w:tblGrid>
        <w:gridCol w:w="3628"/>
        <w:gridCol w:w="7142"/>
      </w:tblGrid>
      <w:tr>
        <w:trPr>
          <w:tblHeader/>
        </w:trPr>
        <w:tc>
          <w:tcPr>
            <w:tcW w:w="1684" w:type="pct"/>
            <w:shd w:val="clear" w:color="auto" w:fill="355E91"/>
            <w:vAlign w:val="center"/>
          </w:tcPr>
          <w:p>
            <w:pPr>
              <w:spacing w:before="0" w:after="0" w:line="248" w:lineRule="exact"/>
            </w:pPr>
            <w:r/>
            <w:r>
              <w:rPr>
                <w:rFonts w:ascii="Helvetica Neue" w:hAnsi="Helvetica Neue" w:cs="Helvetica Neue" w:eastAsia="Helvetica Neue"/>
                <w:b/>
                <w:color w:val="FFFFFF"/>
                <w:sz w:val="18"/>
                <w:szCs w:val="18"/>
                <w:bCs/>
                <w:rtl w:val="0"/>
              </w:rPr>
              <w:t>What happens</w:t>
            </w:r>
          </w:p>
        </w:tc>
        <w:tc>
          <w:tcPr>
            <w:tcW w:w="3315" w:type="pct"/>
            <w:shd w:val="clear" w:color="auto" w:fill="355E91"/>
            <w:vAlign w:val="center"/>
          </w:tcPr>
          <w:p>
            <w:pPr>
              <w:spacing w:before="0" w:after="0" w:line="248" w:lineRule="exact"/>
            </w:pPr>
            <w:r/>
            <w:r>
              <w:rPr>
                <w:rFonts w:ascii="Helvetica Neue" w:hAnsi="Helvetica Neue" w:cs="Helvetica Neue" w:eastAsia="Helvetica Neue"/>
                <w:b/>
                <w:color w:val="FFFFFF"/>
                <w:sz w:val="18"/>
                <w:szCs w:val="18"/>
                <w:bCs/>
                <w:rtl w:val="0"/>
              </w:rPr>
              <w:t>Why, and what to do</w:t>
            </w:r>
          </w:p>
        </w:tc>
      </w:tr>
      <w:tr>
        <w:trPr>
          <w:cantSplit/>
        </w:trPr>
        <w:tc>
          <w:tcPr>
            <w:tcW w:w="1684" w:type="pct"/>
            <w:shd w:val="clear" w:color="auto" w:fill="F6F8FB"/>
            <w:vAlign w:val="center"/>
          </w:tcPr>
          <w:p>
            <w:pPr>
              <w:spacing w:before="0" w:after="0" w:line="242" w:lineRule="exact"/>
            </w:pPr>
            <w:r/>
            <w:r>
              <w:rPr>
                <w:rFonts w:ascii="Helvetica Neue" w:hAnsi="Helvetica Neue" w:cs="Helvetica Neue" w:eastAsia="Helvetica Neue"/>
                <w:b/>
                <w:color w:val="355E91"/>
                <w:sz w:val="18"/>
                <w:szCs w:val="18"/>
                <w:bCs/>
                <w:rtl w:val="0"/>
              </w:rPr>
              <w:t>I do not see “Where I visit — supervisor rota”</w:t>
            </w:r>
          </w:p>
        </w:tc>
        <w:tc>
          <w:tcPr>
            <w:tcW w:w="3315" w:type="pct"/>
            <w:vAlign w:val="center"/>
          </w:tcPr>
          <w:p>
            <w:pPr>
              <w:spacing w:before="0" w:after="0" w:line="242" w:lineRule="exact"/>
            </w:pPr>
            <w:r/>
            <w:r>
              <w:rPr>
                <w:rFonts w:ascii="Helvetica Neue" w:hAnsi="Helvetica Neue" w:cs="Helvetica Neue" w:eastAsia="Helvetica Neue"/>
                <w:b w:val="0"/>
                <w:color w:val="1A1A1A"/>
                <w:sz w:val="18"/>
                <w:szCs w:val="18"/>
                <w:rtl w:val="0"/>
              </w:rPr>
              <w:t>Because you do not rotate between complexes. That is for the subject supervisor alone.</w:t>
            </w:r>
          </w:p>
        </w:tc>
      </w:tr>
      <w:tr>
        <w:trPr>
          <w:cantSplit/>
        </w:trPr>
        <w:tc>
          <w:tcPr>
            <w:tcW w:w="1684" w:type="pct"/>
            <w:shd w:val="clear" w:color="auto" w:fill="F6F8FB"/>
            <w:vAlign w:val="center"/>
          </w:tcPr>
          <w:p>
            <w:pPr>
              <w:spacing w:before="0" w:after="0" w:line="242" w:lineRule="exact"/>
            </w:pPr>
            <w:r/>
            <w:r>
              <w:rPr>
                <w:rFonts w:ascii="Helvetica Neue" w:hAnsi="Helvetica Neue" w:cs="Helvetica Neue" w:eastAsia="Helvetica Neue"/>
                <w:b/>
                <w:color w:val="355E91"/>
                <w:sz w:val="18"/>
                <w:szCs w:val="18"/>
                <w:bCs/>
                <w:rtl w:val="0"/>
              </w:rPr>
              <w:t>I do not see “Assign peers”</w:t>
            </w:r>
          </w:p>
        </w:tc>
        <w:tc>
          <w:tcPr>
            <w:tcW w:w="3315" w:type="pct"/>
            <w:vAlign w:val="center"/>
          </w:tcPr>
          <w:p>
            <w:pPr>
              <w:spacing w:before="0" w:after="0" w:line="242" w:lineRule="exact"/>
            </w:pPr>
            <w:r/>
            <w:r>
              <w:rPr>
                <w:rFonts w:ascii="Helvetica Neue" w:hAnsi="Helvetica Neue" w:cs="Helvetica Neue" w:eastAsia="Helvetica Neue"/>
                <w:b w:val="0"/>
                <w:color w:val="1A1A1A"/>
                <w:sz w:val="18"/>
                <w:szCs w:val="18"/>
                <w:rtl w:val="0"/>
              </w:rPr>
              <w:t>Assignment belongs to the academic deputy — they are the one who sees it.</w:t>
            </w:r>
          </w:p>
        </w:tc>
      </w:tr>
    </w:tbl>
    <w:p>
      <w:pPr>
        <w:spacing w:before="0" w:after="120"/>
      </w:pPr>
    </w:p>
    <w:p>
      <w:pPr>
        <w:keepNext/>
        <w:pBdr>
          <w:bottom w:val="single" w:sz="8" w:space="1" w:color="2F7F95"/>
        </w:pBdr>
        <w:spacing w:before="140" w:after="40"/>
      </w:pPr>
      <w:r>
        <w:rPr>
          <w:rFonts w:ascii="Helvetica Neue" w:hAnsi="Helvetica Neue" w:cs="Helvetica Neue" w:eastAsia="Helvetica Neue"/>
          <w:b/>
          <w:color w:val="C00000"/>
          <w:sz w:val="22"/>
          <w:szCs w:val="22"/>
          <w:bCs/>
          <w:rtl w:val="0"/>
        </w:rPr>
        <w:t>❖  Frequently asked</w:t>
      </w:r>
    </w:p>
    <w:p>
      <w:pPr>
        <w:spacing w:before="40" w:after="20"/>
      </w:pPr>
      <w:r>
        <w:rPr>
          <w:rFonts w:ascii="Helvetica Neue" w:hAnsi="Helvetica Neue" w:cs="Helvetica Neue" w:eastAsia="Helvetica Neue"/>
          <w:b/>
          <w:color w:val="2F7F95"/>
          <w:sz w:val="18"/>
          <w:szCs w:val="18"/>
          <w:bCs/>
          <w:rtl w:val="0"/>
        </w:rPr>
        <w:t xml:space="preserve">Q: </w:t>
      </w:r>
      <w:r>
        <w:rPr>
          <w:rFonts w:ascii="Helvetica Neue" w:hAnsi="Helvetica Neue" w:cs="Helvetica Neue" w:eastAsia="Helvetica Neue"/>
          <w:b/>
          <w:color w:val="355E91"/>
          <w:sz w:val="18"/>
          <w:szCs w:val="18"/>
          <w:bCs/>
          <w:rtl w:val="0"/>
        </w:rPr>
        <w:t>Do I see the complex's other schools?</w:t>
      </w:r>
    </w:p>
    <w:p>
      <w:pPr>
        <w:spacing w:before="0" w:after="60"/>
        <w:ind w:right="260"/>
      </w:pPr>
      <w:r>
        <w:rPr>
          <w:rFonts w:ascii="Helvetica Neue" w:hAnsi="Helvetica Neue" w:cs="Helvetica Neue" w:eastAsia="Helvetica Neue"/>
          <w:b/>
          <w:color w:val="2F7F95"/>
          <w:sz w:val="18"/>
          <w:szCs w:val="18"/>
          <w:bCs/>
          <w:rtl w:val="0"/>
        </w:rPr>
        <w:t xml:space="preserve">A: </w:t>
      </w:r>
      <w:r>
        <w:rPr>
          <w:rFonts w:ascii="Helvetica Neue" w:hAnsi="Helvetica Neue" w:cs="Helvetica Neue" w:eastAsia="Helvetica Neue"/>
          <w:b w:val="0"/>
          <w:color w:val="1A1A1A"/>
          <w:sz w:val="18"/>
          <w:szCs w:val="18"/>
          <w:rtl w:val="0"/>
        </w:rPr>
        <w:t>No. Your scope is your school, and that is deliberate, to protect others' data.</w:t>
      </w:r>
    </w:p>
    <w:p>
      <w:pPr>
        <w:spacing w:before="40" w:after="20"/>
      </w:pPr>
      <w:r>
        <w:rPr>
          <w:rFonts w:ascii="Helvetica Neue" w:hAnsi="Helvetica Neue" w:cs="Helvetica Neue" w:eastAsia="Helvetica Neue"/>
          <w:b/>
          <w:color w:val="2F7F95"/>
          <w:sz w:val="18"/>
          <w:szCs w:val="18"/>
          <w:bCs/>
          <w:rtl w:val="0"/>
        </w:rPr>
        <w:t xml:space="preserve">Q: </w:t>
      </w:r>
      <w:r>
        <w:rPr>
          <w:rFonts w:ascii="Helvetica Neue" w:hAnsi="Helvetica Neue" w:cs="Helvetica Neue" w:eastAsia="Helvetica Neue"/>
          <w:b/>
          <w:color w:val="355E91"/>
          <w:sz w:val="18"/>
          <w:szCs w:val="18"/>
          <w:bCs/>
          <w:rtl w:val="0"/>
        </w:rPr>
        <w:t>I run two schools — how?</w:t>
      </w:r>
    </w:p>
    <w:p>
      <w:pPr>
        <w:spacing w:before="0" w:after="60"/>
        <w:ind w:right="260"/>
      </w:pPr>
      <w:r>
        <w:rPr>
          <w:rFonts w:ascii="Helvetica Neue" w:hAnsi="Helvetica Neue" w:cs="Helvetica Neue" w:eastAsia="Helvetica Neue"/>
          <w:b/>
          <w:color w:val="2F7F95"/>
          <w:sz w:val="18"/>
          <w:szCs w:val="18"/>
          <w:bCs/>
          <w:rtl w:val="0"/>
        </w:rPr>
        <w:t xml:space="preserve">A: </w:t>
      </w:r>
      <w:r>
        <w:rPr>
          <w:rFonts w:ascii="Helvetica Neue" w:hAnsi="Helvetica Neue" w:cs="Helvetica Neue" w:eastAsia="Helvetica Neue"/>
          <w:b w:val="0"/>
          <w:color w:val="1A1A1A"/>
          <w:sz w:val="18"/>
          <w:szCs w:val="18"/>
          <w:rtl w:val="0"/>
        </w:rPr>
        <w:t>Sign out and sign in with the other school; what you entered in the first is kept as it was.</w:t>
      </w:r>
    </w:p>
    <w:tbl>
      <w:tblPr>
        <w:bidiVisual/>
        <w:tblW w:w="5000" w:type="pct"/>
        <w:jc w:val="center"/>
        <w:tblBorders>
          <w:top w:val="single" w:sz="8" w:space="0" w:color="355E91"/>
          <w:left w:val="single" w:sz="8" w:space="0" w:color="355E91"/>
          <w:bottom w:val="single" w:sz="8" w:space="0" w:color="355E91"/>
          <w:right w:val="single" w:sz="8" w:space="0" w:color="355E91"/>
          <w:insideH w:val="single" w:sz="2" w:space="0" w:color="355E91"/>
          <w:insideV w:val="single" w:sz="2" w:space="0" w:color="355E91"/>
        </w:tblBorders>
        <w:tblLayout w:type="fixed"/>
        <w:tblCellMar>
          <w:top w:w="14" w:type="dxa"/>
          <w:left w:w="70" w:type="dxa"/>
          <w:bottom w:w="14" w:type="dxa"/>
          <w:right w:w="70" w:type="dxa"/>
        </w:tblCellMar>
        <w:tblLook w:firstColumn="1" w:firstRow="1" w:lastColumn="0" w:lastRow="0" w:noHBand="0" w:noVBand="1" w:val="04A0"/>
      </w:tblPr>
      <w:tblGrid>
        <w:gridCol w:w="10771"/>
      </w:tblGrid>
      <w:tr>
        <w:tc>
          <w:tcPr>
            <w:tcW w:w="5000" w:type="pct"/>
            <w:shd w:val="clear" w:color="auto" w:fill="355E91"/>
            <w:vAlign w:val="center"/>
          </w:tcPr>
          <w:p>
            <w:pPr>
              <w:spacing w:before="0" w:after="0" w:line="264" w:lineRule="exact"/>
            </w:pPr>
            <w:r/>
            <w:r>
              <w:rPr>
                <w:rFonts w:ascii="Helvetica Neue" w:hAnsi="Helvetica Neue" w:cs="Helvetica Neue" w:eastAsia="Helvetica Neue"/>
                <w:b/>
                <w:color w:val="FFFFFF"/>
                <w:sz w:val="20"/>
                <w:szCs w:val="20"/>
                <w:bCs/>
                <w:rtl w:val="0"/>
              </w:rPr>
              <w:t>Who to contact</w:t>
            </w:r>
          </w:p>
        </w:tc>
      </w:tr>
      <w:tr>
        <w:trPr>
          <w:cantSplit/>
        </w:trPr>
        <w:tc>
          <w:tcPr>
            <w:tcW w:w="5000" w:type="pct"/>
            <w:shd w:val="clear" w:color="auto" w:fill="F6F8FB"/>
            <w:vAlign w:val="center"/>
          </w:tcPr>
          <w:p>
            <w:pPr>
              <w:spacing w:before="0" w:after="0" w:line="248" w:lineRule="exact"/>
            </w:pPr>
            <w:r/>
            <w:r>
              <w:rPr>
                <w:rFonts w:ascii="Helvetica Neue" w:hAnsi="Helvetica Neue" w:cs="Helvetica Neue" w:eastAsia="Helvetica Neue"/>
                <w:b w:val="0"/>
                <w:color w:val="1A1A1A"/>
                <w:sz w:val="18"/>
                <w:szCs w:val="18"/>
                <w:rtl w:val="0"/>
              </w:rPr>
              <w:t>If what concerns you does not appear, or something that is not yours does — contact the Planning and School Accreditation Department.</w:t>
            </w:r>
          </w:p>
        </w:tc>
      </w:tr>
      <w:tr>
        <w:trPr>
          <w:cantSplit/>
        </w:trPr>
        <w:tc>
          <w:tcPr>
            <w:tcW w:w="5000" w:type="pct"/>
            <w:shd w:val="clear" w:color="auto" w:fill="F6F8FB"/>
            <w:vAlign w:val="center"/>
          </w:tcPr>
          <w:p>
            <w:pPr>
              <w:spacing w:before="0" w:after="0" w:line="248" w:lineRule="exact"/>
            </w:pPr>
            <w:r/>
            <w:r>
              <w:rPr>
                <w:rFonts w:ascii="Helvetica Neue" w:hAnsi="Helvetica Neue" w:cs="Helvetica Neue" w:eastAsia="Helvetica Neue"/>
                <w:b w:val="0"/>
                <w:color w:val="1A1A1A"/>
                <w:sz w:val="18"/>
                <w:szCs w:val="18"/>
                <w:rtl w:val="0"/>
              </w:rPr>
              <w:t>If the page does not open at all — check the link above and your connection.</w:t>
            </w:r>
          </w:p>
        </w:tc>
      </w:tr>
    </w:tbl>
    <w:p>
      <w:pPr>
        <w:spacing w:before="0" w:after="100"/>
      </w:pPr>
    </w:p>
    <w:p>
      <w:pPr>
        <w:spacing w:before="80" w:after="0"/>
        <w:jc w:val="center"/>
      </w:pPr>
      <w:r>
        <w:rPr>
          <w:rFonts w:ascii="Helvetica Neue" w:hAnsi="Helvetica Neue" w:cs="Helvetica Neue" w:eastAsia="Helvetica Neue"/>
          <w:b/>
          <w:color w:val="2F7F95"/>
          <w:sz w:val="19"/>
          <w:szCs w:val="19"/>
          <w:bCs/>
          <w:rtl w:val="0"/>
        </w:rPr>
        <w:t>https://ahseyam.github.io/unified-lesson/</w:t>
      </w:r>
    </w:p>
    <w:p>
      <w:pPr>
        <w:spacing w:before="0" w:after="0"/>
        <w:jc w:val="center"/>
      </w:pPr>
      <w:r>
        <w:rPr>
          <w:rFonts w:ascii="Helvetica Neue" w:hAnsi="Helvetica Neue" w:cs="Helvetica Neue" w:eastAsia="Helvetica Neue"/>
          <w:b w:val="0"/>
          <w:color w:val="7F7F7F"/>
          <w:sz w:val="16"/>
          <w:szCs w:val="16"/>
          <w:rtl w:val="0"/>
        </w:rPr>
        <w:t>Planning and School Accreditation Department  ·  Ahmed Seyam</w:t>
      </w:r>
    </w:p>
    <w:sectPr w:rsidR="00FC693F" w:rsidRPr="0006063C" w:rsidSect="00034616">
      <w:headerReference w:type="default" r:id="rId9"/>
      <w:pgSz w:w="11906" w:h="16838"/>
      <w:pgMar w:top="1616" w:right="567" w:bottom="1531" w:left="567" w:header="113" w:footer="90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pPr>
    <w: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klisha"/>
          <wp:cNvGraphicFramePr/>
          <a:graphic xmlns:a="http://schemas.openxmlformats.org/drawingml/2006/main" xmlns:pic="http://schemas.openxmlformats.org/drawingml/2006/picture">
            <a:graphicData uri="http://schemas.openxmlformats.org/drawingml/2006/picture">
              <pic:pic>
                <pic:nvPicPr>
                  <pic:cNvPr id="0" name="kl_portrait.jpg"/>
                  <pic:cNvPicPr/>
                </pic:nvPicPr>
                <pic:blipFill>
                  <a:blip r:embed="rId1"/>
                  <a:stretch>
                    <a:fillRect/>
                  </a:stretch>
                </pic:blipFill>
                <pic:spPr>
                  <a:xfrm>
                    <a:off x="0" y="0"/>
                    <a:ext cx="7560000" cy="10692000"/>
                  </a:xfrm>
                  <a:prstGeom prst="rect"/>
                </pic:spPr>
              </pic:pic>
            </a:graphicData>
          </a:graphic>
        </wp:anchor>
      </w:drawing>
    </w:r>
  </w:p>
  <w:p>
    <w:pPr>
      <w:framePr w:w="4450" w:h="556" w:hRule="exact" w:x="7228" w:y="578" w:hAnchor="page" w:vAnchor="page" w:wrap="notBeside"/>
      <w:spacing w:before="77" w:after="0" w:line="400" w:lineRule="exact"/>
      <w:jc w:val="center"/>
    </w:pPr>
    <w:r>
      <w:rPr>
        <w:rFonts w:ascii="Helvetica Neue" w:hAnsi="Helvetica Neue" w:cs="Helvetica Neue" w:eastAsia="Helvetica Neue"/>
        <w:b/>
        <w:color w:val="FFFFFF"/>
        <w:sz w:val="32"/>
        <w:szCs w:val="32"/>
        <w:bCs/>
        <w:rtl w:val="0"/>
      </w:rPr>
      <w:t>Unified Lesson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bidi/>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ubai" w:hAnsi="Dubai" w:cs="Dubai" w:eastAsia="Dubai"/>
      <w:sz w:val="22"/>
      <w:szCs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