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78" w:rsidRDefault="00605F48" w:rsidP="0018756A">
      <w:pPr>
        <w:jc w:val="center"/>
        <w:rPr>
          <w:rFonts w:ascii="仿宋_GB2312" w:eastAsia="仿宋_GB2312" w:hAnsiTheme="minorEastAsia"/>
          <w:b/>
          <w:sz w:val="36"/>
          <w:szCs w:val="36"/>
        </w:rPr>
      </w:pPr>
      <w:r w:rsidRPr="00DC4EB3">
        <w:rPr>
          <w:rFonts w:ascii="仿宋_GB2312" w:eastAsia="仿宋_GB2312" w:hAnsiTheme="minorEastAsia" w:hint="eastAsia"/>
          <w:b/>
          <w:sz w:val="36"/>
          <w:szCs w:val="36"/>
        </w:rPr>
        <w:t>信息与通信工程学院</w:t>
      </w:r>
      <w:r w:rsidR="0018756A" w:rsidRPr="00DC4EB3">
        <w:rPr>
          <w:rFonts w:ascii="仿宋_GB2312" w:eastAsia="仿宋_GB2312" w:hAnsiTheme="minorEastAsia" w:hint="eastAsia"/>
          <w:b/>
          <w:sz w:val="36"/>
          <w:szCs w:val="36"/>
        </w:rPr>
        <w:t>转专业实施细则</w:t>
      </w:r>
    </w:p>
    <w:p w:rsidR="00E71F32" w:rsidRPr="00DC4EB3" w:rsidRDefault="00E71F32" w:rsidP="0018756A">
      <w:pPr>
        <w:jc w:val="center"/>
        <w:rPr>
          <w:rFonts w:ascii="仿宋_GB2312" w:eastAsia="仿宋_GB2312" w:hAnsiTheme="minorEastAsia"/>
          <w:b/>
          <w:sz w:val="36"/>
          <w:szCs w:val="36"/>
        </w:rPr>
      </w:pPr>
      <w:r>
        <w:rPr>
          <w:rFonts w:ascii="仿宋_GB2312" w:eastAsia="仿宋_GB2312" w:hAnsiTheme="minorEastAsia" w:hint="eastAsia"/>
          <w:b/>
          <w:sz w:val="36"/>
          <w:szCs w:val="36"/>
        </w:rPr>
        <w:t>（</w:t>
      </w:r>
      <w:r w:rsidR="00BB088B">
        <w:rPr>
          <w:rFonts w:ascii="仿宋_GB2312" w:eastAsia="仿宋_GB2312" w:hAnsiTheme="minorEastAsia" w:hint="eastAsia"/>
          <w:b/>
          <w:sz w:val="36"/>
          <w:szCs w:val="36"/>
        </w:rPr>
        <w:t>2016</w:t>
      </w:r>
      <w:r w:rsidRPr="00DC4EB3">
        <w:rPr>
          <w:rFonts w:ascii="仿宋_GB2312" w:eastAsia="仿宋_GB2312" w:hAnsiTheme="minorEastAsia" w:hint="eastAsia"/>
          <w:b/>
          <w:sz w:val="36"/>
          <w:szCs w:val="36"/>
        </w:rPr>
        <w:t>年</w:t>
      </w:r>
      <w:r>
        <w:rPr>
          <w:rFonts w:ascii="仿宋_GB2312" w:eastAsia="仿宋_GB2312" w:hAnsiTheme="minorEastAsia" w:hint="eastAsia"/>
          <w:b/>
          <w:sz w:val="36"/>
          <w:szCs w:val="36"/>
        </w:rPr>
        <w:t>）</w:t>
      </w:r>
    </w:p>
    <w:p w:rsidR="00130E64" w:rsidRPr="00DC4EB3" w:rsidRDefault="00130E64" w:rsidP="00DC4EB3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DC4EB3">
        <w:rPr>
          <w:rFonts w:ascii="仿宋_GB2312" w:eastAsia="仿宋_GB2312" w:hAnsiTheme="minorEastAsia" w:hint="eastAsia"/>
          <w:sz w:val="28"/>
          <w:szCs w:val="28"/>
        </w:rPr>
        <w:t>为进一步调动学生学习积极性，加强学风建设和学生学籍管理，规范本科学生转专业工作，根据《北京信息科技大学本科学生转专业管理办法》（</w:t>
      </w:r>
      <w:proofErr w:type="gramStart"/>
      <w:r w:rsidRPr="00DC4EB3">
        <w:rPr>
          <w:rFonts w:ascii="仿宋_GB2312" w:eastAsia="仿宋_GB2312" w:hAnsiTheme="minorEastAsia" w:hint="eastAsia"/>
          <w:sz w:val="28"/>
          <w:szCs w:val="28"/>
        </w:rPr>
        <w:t>校教发</w:t>
      </w:r>
      <w:proofErr w:type="gramEnd"/>
      <w:r w:rsidRPr="00DC4EB3">
        <w:rPr>
          <w:rFonts w:ascii="仿宋_GB2312" w:eastAsia="仿宋_GB2312" w:hAnsiTheme="minorEastAsia" w:hint="eastAsia"/>
          <w:sz w:val="28"/>
          <w:szCs w:val="28"/>
        </w:rPr>
        <w:t>〔2013〕120号），制定本细则。</w:t>
      </w:r>
    </w:p>
    <w:p w:rsidR="00130E64" w:rsidRPr="00DC4EB3" w:rsidRDefault="00DC4EB3" w:rsidP="00DC4EB3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一、</w:t>
      </w:r>
      <w:r w:rsidR="00A86321" w:rsidRPr="00A86321">
        <w:rPr>
          <w:rFonts w:ascii="仿宋_GB2312" w:eastAsia="仿宋_GB2312" w:hAnsiTheme="minorEastAsia" w:hint="eastAsia"/>
          <w:sz w:val="28"/>
          <w:szCs w:val="28"/>
        </w:rPr>
        <w:t>拟接收人数及条件</w:t>
      </w:r>
    </w:p>
    <w:p w:rsidR="00130E64" w:rsidRPr="00DC4EB3" w:rsidRDefault="00DC4EB3" w:rsidP="00A86321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1.</w:t>
      </w:r>
      <w:r w:rsidR="005C4536">
        <w:rPr>
          <w:rFonts w:ascii="仿宋_GB2312" w:eastAsia="仿宋_GB2312" w:hAnsiTheme="minorEastAsia" w:hint="eastAsia"/>
          <w:sz w:val="28"/>
          <w:szCs w:val="28"/>
        </w:rPr>
        <w:t>学生须符合</w:t>
      </w:r>
      <w:r w:rsidR="005C4536" w:rsidRPr="00DC4EB3">
        <w:rPr>
          <w:rFonts w:ascii="仿宋_GB2312" w:eastAsia="仿宋_GB2312" w:hAnsiTheme="minorEastAsia" w:hint="eastAsia"/>
          <w:sz w:val="28"/>
          <w:szCs w:val="28"/>
        </w:rPr>
        <w:t>《北京信息科技大学本科学生转专业管理办法》（</w:t>
      </w:r>
      <w:proofErr w:type="gramStart"/>
      <w:r w:rsidR="005C4536" w:rsidRPr="00DC4EB3">
        <w:rPr>
          <w:rFonts w:ascii="仿宋_GB2312" w:eastAsia="仿宋_GB2312" w:hAnsiTheme="minorEastAsia" w:hint="eastAsia"/>
          <w:sz w:val="28"/>
          <w:szCs w:val="28"/>
        </w:rPr>
        <w:t>校教发</w:t>
      </w:r>
      <w:proofErr w:type="gramEnd"/>
      <w:r w:rsidR="005C4536" w:rsidRPr="00DC4EB3">
        <w:rPr>
          <w:rFonts w:ascii="仿宋_GB2312" w:eastAsia="仿宋_GB2312" w:hAnsiTheme="minorEastAsia" w:hint="eastAsia"/>
          <w:sz w:val="28"/>
          <w:szCs w:val="28"/>
        </w:rPr>
        <w:t>〔2013〕120号）</w:t>
      </w:r>
      <w:r w:rsidR="005C4536">
        <w:rPr>
          <w:rFonts w:ascii="仿宋_GB2312" w:eastAsia="仿宋_GB2312" w:hAnsiTheme="minorEastAsia" w:hint="eastAsia"/>
          <w:sz w:val="28"/>
          <w:szCs w:val="28"/>
        </w:rPr>
        <w:t>的有关要求方可接收</w:t>
      </w:r>
      <w:r w:rsidR="00130E64" w:rsidRPr="00DC4EB3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18756A" w:rsidRPr="00DC4EB3" w:rsidRDefault="00A86321" w:rsidP="00DC4EB3">
      <w:pPr>
        <w:ind w:firstLineChars="200" w:firstLine="560"/>
        <w:rPr>
          <w:rFonts w:ascii="仿宋_GB2312" w:eastAsia="仿宋_GB2312" w:hAnsiTheme="minorEastAsia"/>
          <w:color w:val="FF0000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2</w:t>
      </w:r>
      <w:r w:rsidR="00DC4EB3">
        <w:rPr>
          <w:rFonts w:ascii="仿宋_GB2312" w:eastAsia="仿宋_GB2312" w:hAnsiTheme="minorEastAsia" w:hint="eastAsia"/>
          <w:sz w:val="28"/>
          <w:szCs w:val="28"/>
        </w:rPr>
        <w:t>.</w:t>
      </w:r>
      <w:r w:rsidR="00130E64" w:rsidRPr="00DC4EB3">
        <w:rPr>
          <w:rFonts w:ascii="仿宋_GB2312" w:eastAsia="仿宋_GB2312" w:hAnsiTheme="minorEastAsia" w:hint="eastAsia"/>
          <w:sz w:val="28"/>
          <w:szCs w:val="28"/>
        </w:rPr>
        <w:t>因教学资源、宿舍资源等条件所限，</w:t>
      </w:r>
      <w:r w:rsidR="005C4536">
        <w:rPr>
          <w:rFonts w:ascii="仿宋_GB2312" w:eastAsia="仿宋_GB2312" w:hAnsiTheme="minorEastAsia" w:hint="eastAsia"/>
          <w:sz w:val="28"/>
          <w:szCs w:val="28"/>
        </w:rPr>
        <w:t>2016</w:t>
      </w:r>
      <w:r w:rsidR="00130E64" w:rsidRPr="00DC4EB3">
        <w:rPr>
          <w:rFonts w:ascii="仿宋_GB2312" w:eastAsia="仿宋_GB2312" w:hAnsiTheme="minorEastAsia" w:hint="eastAsia"/>
          <w:sz w:val="28"/>
          <w:szCs w:val="28"/>
        </w:rPr>
        <w:t>年本学院接收转专业学生数限额为</w:t>
      </w:r>
      <w:r w:rsidR="00DC4EB3" w:rsidRPr="00E71F32">
        <w:rPr>
          <w:rFonts w:ascii="仿宋_GB2312" w:eastAsia="仿宋_GB2312" w:hAnsiTheme="minorEastAsia" w:hint="eastAsia"/>
          <w:sz w:val="28"/>
          <w:szCs w:val="28"/>
        </w:rPr>
        <w:t>20</w:t>
      </w:r>
      <w:r w:rsidR="00130E64" w:rsidRPr="00DC4EB3">
        <w:rPr>
          <w:rFonts w:ascii="仿宋_GB2312" w:eastAsia="仿宋_GB2312" w:hAnsiTheme="minorEastAsia" w:hint="eastAsia"/>
          <w:sz w:val="28"/>
          <w:szCs w:val="28"/>
        </w:rPr>
        <w:t>人，各专业名额分配如下表。</w:t>
      </w:r>
    </w:p>
    <w:tbl>
      <w:tblPr>
        <w:tblStyle w:val="a6"/>
        <w:tblW w:w="0" w:type="auto"/>
        <w:tblInd w:w="108" w:type="dxa"/>
        <w:tblLook w:val="04A0"/>
      </w:tblPr>
      <w:tblGrid>
        <w:gridCol w:w="709"/>
        <w:gridCol w:w="1701"/>
        <w:gridCol w:w="1559"/>
        <w:gridCol w:w="1418"/>
        <w:gridCol w:w="2835"/>
      </w:tblGrid>
      <w:tr w:rsidR="002953F9" w:rsidRPr="0095522A" w:rsidTr="00A37FCA">
        <w:trPr>
          <w:trHeight w:val="529"/>
        </w:trPr>
        <w:tc>
          <w:tcPr>
            <w:tcW w:w="709" w:type="dxa"/>
            <w:vAlign w:val="center"/>
          </w:tcPr>
          <w:p w:rsidR="002953F9" w:rsidRPr="0095522A" w:rsidRDefault="002953F9" w:rsidP="00A37FC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:rsidR="002953F9" w:rsidRPr="0095522A" w:rsidRDefault="002953F9" w:rsidP="00A37FC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int="eastAsia"/>
                <w:sz w:val="24"/>
                <w:szCs w:val="24"/>
              </w:rPr>
              <w:t>拟接收专业</w:t>
            </w:r>
          </w:p>
        </w:tc>
        <w:tc>
          <w:tcPr>
            <w:tcW w:w="1559" w:type="dxa"/>
            <w:vAlign w:val="center"/>
          </w:tcPr>
          <w:p w:rsidR="002953F9" w:rsidRPr="0095522A" w:rsidRDefault="002953F9" w:rsidP="00A37FC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vAlign w:val="center"/>
          </w:tcPr>
          <w:p w:rsidR="002953F9" w:rsidRPr="0095522A" w:rsidRDefault="002953F9" w:rsidP="00A37FC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int="eastAsia"/>
                <w:sz w:val="24"/>
                <w:szCs w:val="24"/>
              </w:rPr>
              <w:t>拟接收人数</w:t>
            </w:r>
          </w:p>
        </w:tc>
        <w:tc>
          <w:tcPr>
            <w:tcW w:w="2835" w:type="dxa"/>
            <w:vAlign w:val="center"/>
          </w:tcPr>
          <w:p w:rsidR="002953F9" w:rsidRPr="0095522A" w:rsidRDefault="002953F9" w:rsidP="00A37FC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int="eastAsia"/>
                <w:sz w:val="24"/>
                <w:szCs w:val="24"/>
              </w:rPr>
              <w:t>备注</w:t>
            </w:r>
          </w:p>
        </w:tc>
      </w:tr>
      <w:tr w:rsidR="00DC4EB3" w:rsidRPr="0095522A" w:rsidTr="00A37FCA">
        <w:trPr>
          <w:trHeight w:val="348"/>
        </w:trPr>
        <w:tc>
          <w:tcPr>
            <w:tcW w:w="709" w:type="dxa"/>
            <w:vAlign w:val="center"/>
          </w:tcPr>
          <w:p w:rsidR="00DC4EB3" w:rsidRPr="0095522A" w:rsidRDefault="00DC4EB3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DC4EB3" w:rsidRPr="0095522A" w:rsidRDefault="00DC4EB3" w:rsidP="0095522A">
            <w:pPr>
              <w:pStyle w:val="2"/>
              <w:spacing w:line="360" w:lineRule="exact"/>
              <w:ind w:firstLineChars="0" w:firstLine="0"/>
              <w:jc w:val="center"/>
              <w:rPr>
                <w:rFonts w:hAnsi="华文仿宋"/>
                <w:sz w:val="24"/>
                <w:szCs w:val="24"/>
              </w:rPr>
            </w:pPr>
            <w:r w:rsidRPr="0095522A">
              <w:rPr>
                <w:rFonts w:hAnsi="华文仿宋" w:hint="eastAsia"/>
                <w:sz w:val="24"/>
                <w:szCs w:val="24"/>
              </w:rPr>
              <w:t>电子信息工程</w:t>
            </w:r>
          </w:p>
        </w:tc>
        <w:tc>
          <w:tcPr>
            <w:tcW w:w="1559" w:type="dxa"/>
            <w:vAlign w:val="center"/>
          </w:tcPr>
          <w:p w:rsidR="00DC4EB3" w:rsidRPr="0095522A" w:rsidRDefault="005C4536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2014</w:t>
            </w:r>
            <w:r w:rsidR="00DC4EB3" w:rsidRPr="0095522A">
              <w:rPr>
                <w:rFonts w:ascii="仿宋_GB2312" w:eastAsia="仿宋_GB2312" w:hint="eastAsia"/>
                <w:sz w:val="24"/>
                <w:szCs w:val="24"/>
              </w:rPr>
              <w:t>、201</w:t>
            </w:r>
            <w:r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DC4EB3" w:rsidRPr="00E71F32" w:rsidRDefault="00DC4EB3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E71F32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2835" w:type="dxa"/>
            <w:vMerge w:val="restart"/>
            <w:vAlign w:val="center"/>
          </w:tcPr>
          <w:p w:rsidR="00DC4EB3" w:rsidRPr="0095522A" w:rsidRDefault="00DC4EB3" w:rsidP="00A37FCA">
            <w:pPr>
              <w:ind w:firstLineChars="200" w:firstLine="480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AnsiTheme="minorEastAsia" w:hint="eastAsia"/>
                <w:sz w:val="24"/>
                <w:szCs w:val="24"/>
              </w:rPr>
              <w:t>根据转入申请和考核情况，各专业拟接收名额数可在学院内部调剂使用。</w:t>
            </w:r>
          </w:p>
        </w:tc>
      </w:tr>
      <w:tr w:rsidR="00661413" w:rsidRPr="0095522A" w:rsidTr="00A37FCA">
        <w:trPr>
          <w:trHeight w:val="412"/>
        </w:trPr>
        <w:tc>
          <w:tcPr>
            <w:tcW w:w="709" w:type="dxa"/>
            <w:vAlign w:val="center"/>
          </w:tcPr>
          <w:p w:rsidR="00661413" w:rsidRPr="0095522A" w:rsidRDefault="00661413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61413" w:rsidRPr="0095522A" w:rsidRDefault="00661413" w:rsidP="0095522A">
            <w:pPr>
              <w:pStyle w:val="2"/>
              <w:spacing w:line="360" w:lineRule="exact"/>
              <w:ind w:firstLineChars="0" w:firstLine="0"/>
              <w:jc w:val="center"/>
              <w:rPr>
                <w:rFonts w:hAnsi="华文仿宋"/>
                <w:sz w:val="24"/>
                <w:szCs w:val="24"/>
              </w:rPr>
            </w:pPr>
            <w:r w:rsidRPr="0095522A">
              <w:rPr>
                <w:rFonts w:hAnsi="华文仿宋" w:hint="eastAsia"/>
                <w:sz w:val="24"/>
                <w:szCs w:val="24"/>
              </w:rPr>
              <w:t>通信工程</w:t>
            </w:r>
          </w:p>
        </w:tc>
        <w:tc>
          <w:tcPr>
            <w:tcW w:w="1559" w:type="dxa"/>
            <w:vAlign w:val="center"/>
          </w:tcPr>
          <w:p w:rsidR="00661413" w:rsidRPr="0095522A" w:rsidRDefault="005C4536" w:rsidP="00684DE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2014</w:t>
            </w:r>
            <w:r w:rsidR="00661413" w:rsidRPr="0095522A">
              <w:rPr>
                <w:rFonts w:ascii="仿宋_GB2312" w:eastAsia="仿宋_GB2312" w:hint="eastAsia"/>
                <w:sz w:val="24"/>
                <w:szCs w:val="24"/>
              </w:rPr>
              <w:t>、201</w:t>
            </w:r>
            <w:r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661413" w:rsidRPr="00E71F32" w:rsidRDefault="00661413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E71F32">
              <w:rPr>
                <w:rFonts w:ascii="仿宋_GB2312" w:eastAsia="仿宋_GB2312" w:hint="eastAsia"/>
                <w:sz w:val="24"/>
                <w:szCs w:val="24"/>
              </w:rPr>
              <w:t>12</w:t>
            </w:r>
          </w:p>
        </w:tc>
        <w:tc>
          <w:tcPr>
            <w:tcW w:w="2835" w:type="dxa"/>
            <w:vMerge/>
            <w:vAlign w:val="center"/>
          </w:tcPr>
          <w:p w:rsidR="00661413" w:rsidRPr="0095522A" w:rsidRDefault="00661413" w:rsidP="00130E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661413" w:rsidRPr="0095522A" w:rsidTr="0095522A">
        <w:tc>
          <w:tcPr>
            <w:tcW w:w="709" w:type="dxa"/>
            <w:vAlign w:val="center"/>
          </w:tcPr>
          <w:p w:rsidR="00661413" w:rsidRPr="0095522A" w:rsidRDefault="00661413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61413" w:rsidRPr="0095522A" w:rsidRDefault="00661413" w:rsidP="0095522A">
            <w:pPr>
              <w:pStyle w:val="2"/>
              <w:spacing w:line="360" w:lineRule="exact"/>
              <w:ind w:firstLineChars="0" w:firstLine="0"/>
              <w:jc w:val="center"/>
              <w:rPr>
                <w:rFonts w:hAnsi="华文仿宋"/>
                <w:sz w:val="24"/>
                <w:szCs w:val="24"/>
              </w:rPr>
            </w:pPr>
            <w:r w:rsidRPr="0095522A">
              <w:rPr>
                <w:rFonts w:hAnsi="华文仿宋" w:hint="eastAsia"/>
                <w:sz w:val="24"/>
                <w:szCs w:val="24"/>
              </w:rPr>
              <w:t>物联网工程</w:t>
            </w:r>
          </w:p>
        </w:tc>
        <w:tc>
          <w:tcPr>
            <w:tcW w:w="1559" w:type="dxa"/>
            <w:vAlign w:val="center"/>
          </w:tcPr>
          <w:p w:rsidR="00661413" w:rsidRPr="0095522A" w:rsidRDefault="005C4536" w:rsidP="00684DE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2014</w:t>
            </w:r>
            <w:r w:rsidR="00661413" w:rsidRPr="0095522A">
              <w:rPr>
                <w:rFonts w:ascii="仿宋_GB2312" w:eastAsia="仿宋_GB2312" w:hint="eastAsia"/>
                <w:sz w:val="24"/>
                <w:szCs w:val="24"/>
              </w:rPr>
              <w:t>、201</w:t>
            </w:r>
            <w:r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661413" w:rsidRPr="00E71F32" w:rsidRDefault="00661413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E71F32">
              <w:rPr>
                <w:rFonts w:ascii="仿宋_GB2312" w:eastAsia="仿宋_GB2312" w:hint="eastAsia"/>
                <w:sz w:val="24"/>
                <w:szCs w:val="24"/>
              </w:rPr>
              <w:t>3</w:t>
            </w:r>
          </w:p>
        </w:tc>
        <w:tc>
          <w:tcPr>
            <w:tcW w:w="2835" w:type="dxa"/>
            <w:vMerge/>
            <w:vAlign w:val="center"/>
          </w:tcPr>
          <w:p w:rsidR="00661413" w:rsidRPr="0095522A" w:rsidRDefault="00661413" w:rsidP="00130E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18756A" w:rsidRDefault="00DC4EB3" w:rsidP="00DC4EB3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二、</w:t>
      </w:r>
      <w:r w:rsidR="0018756A" w:rsidRPr="00DC4EB3">
        <w:rPr>
          <w:rFonts w:ascii="仿宋_GB2312" w:eastAsia="仿宋_GB2312" w:hAnsiTheme="minorEastAsia" w:hint="eastAsia"/>
          <w:sz w:val="28"/>
          <w:szCs w:val="28"/>
        </w:rPr>
        <w:t>考核及录取原则</w:t>
      </w:r>
    </w:p>
    <w:p w:rsidR="002953F9" w:rsidRPr="00DC4EB3" w:rsidRDefault="00DC4EB3" w:rsidP="00DC4EB3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1.</w:t>
      </w:r>
      <w:r w:rsidR="002953F9" w:rsidRPr="00DC4EB3">
        <w:rPr>
          <w:rFonts w:ascii="仿宋_GB2312" w:eastAsia="仿宋_GB2312" w:hAnsiTheme="minorEastAsia" w:hint="eastAsia"/>
          <w:sz w:val="28"/>
          <w:szCs w:val="28"/>
        </w:rPr>
        <w:t>考核</w:t>
      </w:r>
      <w:r w:rsidR="007C3263" w:rsidRPr="00DC4EB3">
        <w:rPr>
          <w:rFonts w:ascii="仿宋_GB2312" w:eastAsia="仿宋_GB2312" w:hAnsiTheme="minorEastAsia" w:hint="eastAsia"/>
          <w:sz w:val="28"/>
          <w:szCs w:val="28"/>
        </w:rPr>
        <w:t>内容及</w:t>
      </w:r>
      <w:r w:rsidR="002953F9" w:rsidRPr="00DC4EB3">
        <w:rPr>
          <w:rFonts w:ascii="仿宋_GB2312" w:eastAsia="仿宋_GB2312" w:hAnsiTheme="minorEastAsia" w:hint="eastAsia"/>
          <w:sz w:val="28"/>
          <w:szCs w:val="28"/>
        </w:rPr>
        <w:t>方式</w:t>
      </w:r>
    </w:p>
    <w:tbl>
      <w:tblPr>
        <w:tblStyle w:val="a6"/>
        <w:tblW w:w="0" w:type="auto"/>
        <w:tblInd w:w="108" w:type="dxa"/>
        <w:tblLook w:val="04A0"/>
      </w:tblPr>
      <w:tblGrid>
        <w:gridCol w:w="709"/>
        <w:gridCol w:w="1701"/>
        <w:gridCol w:w="1701"/>
        <w:gridCol w:w="851"/>
        <w:gridCol w:w="3260"/>
      </w:tblGrid>
      <w:tr w:rsidR="00C310AB" w:rsidRPr="0095522A" w:rsidTr="0095522A">
        <w:tc>
          <w:tcPr>
            <w:tcW w:w="709" w:type="dxa"/>
            <w:vAlign w:val="center"/>
          </w:tcPr>
          <w:p w:rsidR="00C310AB" w:rsidRPr="0095522A" w:rsidRDefault="00C310AB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:rsidR="00C310AB" w:rsidRPr="0095522A" w:rsidRDefault="00C310AB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int="eastAsia"/>
                <w:sz w:val="24"/>
                <w:szCs w:val="24"/>
              </w:rPr>
              <w:t>拟接收专业</w:t>
            </w:r>
          </w:p>
        </w:tc>
        <w:tc>
          <w:tcPr>
            <w:tcW w:w="1701" w:type="dxa"/>
            <w:vAlign w:val="center"/>
          </w:tcPr>
          <w:p w:rsidR="00C310AB" w:rsidRPr="0095522A" w:rsidRDefault="00C310AB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int="eastAsia"/>
                <w:sz w:val="24"/>
                <w:szCs w:val="24"/>
              </w:rPr>
              <w:t>考核科目</w:t>
            </w:r>
          </w:p>
        </w:tc>
        <w:tc>
          <w:tcPr>
            <w:tcW w:w="851" w:type="dxa"/>
            <w:vAlign w:val="center"/>
          </w:tcPr>
          <w:p w:rsidR="00C310AB" w:rsidRPr="0095522A" w:rsidRDefault="00C310AB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int="eastAsia"/>
                <w:sz w:val="24"/>
                <w:szCs w:val="24"/>
              </w:rPr>
              <w:t>考核方式</w:t>
            </w:r>
          </w:p>
        </w:tc>
        <w:tc>
          <w:tcPr>
            <w:tcW w:w="3260" w:type="dxa"/>
            <w:vAlign w:val="center"/>
          </w:tcPr>
          <w:p w:rsidR="00C310AB" w:rsidRPr="0095522A" w:rsidRDefault="00C310AB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int="eastAsia"/>
                <w:sz w:val="24"/>
                <w:szCs w:val="24"/>
              </w:rPr>
              <w:t>专业要求</w:t>
            </w:r>
          </w:p>
        </w:tc>
      </w:tr>
      <w:tr w:rsidR="0095522A" w:rsidRPr="0095522A" w:rsidTr="00A37FCA">
        <w:trPr>
          <w:trHeight w:val="637"/>
        </w:trPr>
        <w:tc>
          <w:tcPr>
            <w:tcW w:w="709" w:type="dxa"/>
            <w:vAlign w:val="center"/>
          </w:tcPr>
          <w:p w:rsidR="0095522A" w:rsidRPr="0095522A" w:rsidRDefault="0095522A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95522A" w:rsidRPr="0095522A" w:rsidRDefault="0095522A" w:rsidP="00684DE6">
            <w:pPr>
              <w:pStyle w:val="2"/>
              <w:spacing w:line="360" w:lineRule="exact"/>
              <w:ind w:firstLineChars="0" w:firstLine="0"/>
              <w:jc w:val="center"/>
              <w:rPr>
                <w:rFonts w:hAnsi="华文仿宋"/>
                <w:sz w:val="24"/>
                <w:szCs w:val="24"/>
              </w:rPr>
            </w:pPr>
            <w:r w:rsidRPr="0095522A">
              <w:rPr>
                <w:rFonts w:hAnsi="华文仿宋" w:hint="eastAsia"/>
                <w:sz w:val="24"/>
                <w:szCs w:val="24"/>
              </w:rPr>
              <w:t>电子信息工程</w:t>
            </w:r>
          </w:p>
        </w:tc>
        <w:tc>
          <w:tcPr>
            <w:tcW w:w="1701" w:type="dxa"/>
            <w:vMerge w:val="restart"/>
            <w:vAlign w:val="center"/>
          </w:tcPr>
          <w:p w:rsidR="0095522A" w:rsidRPr="00C032AF" w:rsidRDefault="001E25CC" w:rsidP="001E25CC">
            <w:pPr>
              <w:ind w:firstLineChars="200" w:firstLine="48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2015</w:t>
            </w:r>
            <w:r w:rsidR="0095522A" w:rsidRPr="00C032AF">
              <w:rPr>
                <w:rFonts w:ascii="仿宋_GB2312" w:eastAsia="仿宋_GB2312" w:hint="eastAsia"/>
                <w:sz w:val="24"/>
                <w:szCs w:val="24"/>
              </w:rPr>
              <w:t>级</w:t>
            </w:r>
            <w:r w:rsidR="0095522A" w:rsidRPr="00C032AF">
              <w:rPr>
                <w:rFonts w:ascii="仿宋_GB2312" w:eastAsia="仿宋_GB2312" w:hAnsi="华文仿宋" w:hint="eastAsia"/>
                <w:sz w:val="24"/>
                <w:szCs w:val="24"/>
              </w:rPr>
              <w:t>考核科目为《C语言程序设计》；201</w:t>
            </w:r>
            <w:r>
              <w:rPr>
                <w:rFonts w:ascii="仿宋_GB2312" w:eastAsia="仿宋_GB2312" w:hAnsi="华文仿宋" w:hint="eastAsia"/>
                <w:sz w:val="24"/>
                <w:szCs w:val="24"/>
              </w:rPr>
              <w:t>4</w:t>
            </w:r>
            <w:r w:rsidR="0095522A" w:rsidRPr="00C032AF">
              <w:rPr>
                <w:rFonts w:ascii="仿宋_GB2312" w:eastAsia="仿宋_GB2312" w:hAnsi="华文仿宋" w:hint="eastAsia"/>
                <w:sz w:val="24"/>
                <w:szCs w:val="24"/>
              </w:rPr>
              <w:t>级考核科目为《电路分析》。</w:t>
            </w:r>
          </w:p>
        </w:tc>
        <w:tc>
          <w:tcPr>
            <w:tcW w:w="851" w:type="dxa"/>
            <w:vMerge w:val="restart"/>
            <w:vAlign w:val="center"/>
          </w:tcPr>
          <w:p w:rsidR="0095522A" w:rsidRPr="00C032AF" w:rsidRDefault="0095522A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032AF">
              <w:rPr>
                <w:rFonts w:ascii="仿宋_GB2312" w:eastAsia="仿宋_GB2312" w:hint="eastAsia"/>
                <w:sz w:val="24"/>
                <w:szCs w:val="24"/>
              </w:rPr>
              <w:t>笔试，2小时</w:t>
            </w:r>
          </w:p>
        </w:tc>
        <w:tc>
          <w:tcPr>
            <w:tcW w:w="3260" w:type="dxa"/>
            <w:vMerge w:val="restart"/>
            <w:vAlign w:val="center"/>
          </w:tcPr>
          <w:p w:rsidR="0095522A" w:rsidRPr="00C032AF" w:rsidRDefault="00A37FCA" w:rsidP="00A37FCA">
            <w:pPr>
              <w:ind w:firstLineChars="200" w:firstLine="480"/>
              <w:rPr>
                <w:rFonts w:ascii="仿宋_GB2312" w:eastAsia="仿宋_GB2312"/>
                <w:sz w:val="24"/>
                <w:szCs w:val="24"/>
              </w:rPr>
            </w:pPr>
            <w:r w:rsidRPr="00C032AF">
              <w:rPr>
                <w:rFonts w:ascii="仿宋_GB2312" w:eastAsia="仿宋_GB2312" w:hAnsi="华文仿宋" w:hint="eastAsia"/>
                <w:sz w:val="24"/>
                <w:szCs w:val="24"/>
              </w:rPr>
              <w:t>学院根据</w:t>
            </w:r>
            <w:r w:rsidR="0095522A" w:rsidRPr="00C032AF">
              <w:rPr>
                <w:rFonts w:ascii="仿宋_GB2312" w:eastAsia="仿宋_GB2312" w:hAnsi="华文仿宋" w:hint="eastAsia"/>
                <w:sz w:val="24"/>
                <w:szCs w:val="24"/>
              </w:rPr>
              <w:t>笔试</w:t>
            </w:r>
            <w:r w:rsidR="00E71F32" w:rsidRPr="00C032AF">
              <w:rPr>
                <w:rFonts w:ascii="仿宋_GB2312" w:eastAsia="仿宋_GB2312" w:hAnsi="华文仿宋" w:hint="eastAsia"/>
                <w:sz w:val="24"/>
                <w:szCs w:val="24"/>
              </w:rPr>
              <w:t>结果确定面试名单</w:t>
            </w:r>
            <w:r w:rsidR="0095522A" w:rsidRPr="00C032AF">
              <w:rPr>
                <w:rFonts w:ascii="仿宋_GB2312" w:eastAsia="仿宋_GB2312" w:hAnsi="华文仿宋" w:hint="eastAsia"/>
                <w:sz w:val="24"/>
                <w:szCs w:val="24"/>
              </w:rPr>
              <w:t>。面试环节主要对学生的基本情况进行进一步了解，学生需携带有助于证明自己各方面能力、专长的材料参加面试。</w:t>
            </w:r>
          </w:p>
        </w:tc>
      </w:tr>
      <w:tr w:rsidR="0095522A" w:rsidRPr="0095522A" w:rsidTr="00A37FCA">
        <w:trPr>
          <w:trHeight w:val="561"/>
        </w:trPr>
        <w:tc>
          <w:tcPr>
            <w:tcW w:w="709" w:type="dxa"/>
            <w:vAlign w:val="center"/>
          </w:tcPr>
          <w:p w:rsidR="0095522A" w:rsidRPr="0095522A" w:rsidRDefault="0095522A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5522A" w:rsidRPr="0095522A" w:rsidRDefault="0095522A" w:rsidP="00684DE6">
            <w:pPr>
              <w:pStyle w:val="2"/>
              <w:spacing w:line="360" w:lineRule="exact"/>
              <w:ind w:firstLineChars="0" w:firstLine="0"/>
              <w:jc w:val="center"/>
              <w:rPr>
                <w:rFonts w:hAnsi="华文仿宋"/>
                <w:sz w:val="24"/>
                <w:szCs w:val="24"/>
              </w:rPr>
            </w:pPr>
            <w:r w:rsidRPr="0095522A">
              <w:rPr>
                <w:rFonts w:hAnsi="华文仿宋" w:hint="eastAsia"/>
                <w:sz w:val="24"/>
                <w:szCs w:val="24"/>
              </w:rPr>
              <w:t>通信工程</w:t>
            </w:r>
          </w:p>
        </w:tc>
        <w:tc>
          <w:tcPr>
            <w:tcW w:w="1701" w:type="dxa"/>
            <w:vMerge/>
            <w:vAlign w:val="center"/>
          </w:tcPr>
          <w:p w:rsidR="0095522A" w:rsidRPr="0095522A" w:rsidRDefault="0095522A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95522A" w:rsidRPr="0095522A" w:rsidRDefault="0095522A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:rsidR="0095522A" w:rsidRPr="0095522A" w:rsidRDefault="0095522A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95522A" w:rsidRPr="0095522A" w:rsidTr="0095522A">
        <w:tc>
          <w:tcPr>
            <w:tcW w:w="709" w:type="dxa"/>
            <w:vAlign w:val="center"/>
          </w:tcPr>
          <w:p w:rsidR="0095522A" w:rsidRPr="0095522A" w:rsidRDefault="0095522A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5522A">
              <w:rPr>
                <w:rFonts w:ascii="仿宋_GB2312" w:eastAsia="仿宋_GB2312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95522A" w:rsidRPr="0095522A" w:rsidRDefault="0095522A" w:rsidP="00684DE6">
            <w:pPr>
              <w:pStyle w:val="2"/>
              <w:spacing w:line="360" w:lineRule="exact"/>
              <w:ind w:firstLineChars="0" w:firstLine="0"/>
              <w:jc w:val="center"/>
              <w:rPr>
                <w:rFonts w:hAnsi="华文仿宋"/>
                <w:sz w:val="24"/>
                <w:szCs w:val="24"/>
              </w:rPr>
            </w:pPr>
            <w:r w:rsidRPr="0095522A">
              <w:rPr>
                <w:rFonts w:hAnsi="华文仿宋" w:hint="eastAsia"/>
                <w:sz w:val="24"/>
                <w:szCs w:val="24"/>
              </w:rPr>
              <w:t>物联网工程</w:t>
            </w:r>
          </w:p>
        </w:tc>
        <w:tc>
          <w:tcPr>
            <w:tcW w:w="1701" w:type="dxa"/>
            <w:vMerge/>
            <w:vAlign w:val="center"/>
          </w:tcPr>
          <w:p w:rsidR="0095522A" w:rsidRPr="0095522A" w:rsidRDefault="0095522A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95522A" w:rsidRPr="0095522A" w:rsidRDefault="0095522A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:rsidR="0095522A" w:rsidRPr="0095522A" w:rsidRDefault="0095522A" w:rsidP="0095522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42603B" w:rsidRPr="0042603B" w:rsidRDefault="001076B6" w:rsidP="0042603B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说明：笔试不划考试范围，不设考前辅导；</w:t>
      </w:r>
      <w:r w:rsidR="0042603B" w:rsidRPr="008E6257">
        <w:rPr>
          <w:rFonts w:ascii="仿宋_GB2312" w:eastAsia="仿宋_GB2312" w:hAnsiTheme="minorEastAsia" w:hint="eastAsia"/>
          <w:sz w:val="28"/>
          <w:szCs w:val="28"/>
        </w:rPr>
        <w:t>不按时参加考核者，视为自动放弃。</w:t>
      </w:r>
    </w:p>
    <w:p w:rsidR="002953F9" w:rsidRPr="00A37FCA" w:rsidRDefault="00DC4EB3" w:rsidP="00A37FCA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A37FCA">
        <w:rPr>
          <w:rFonts w:ascii="仿宋_GB2312" w:eastAsia="仿宋_GB2312" w:hAnsiTheme="minorEastAsia" w:hint="eastAsia"/>
          <w:sz w:val="28"/>
          <w:szCs w:val="28"/>
        </w:rPr>
        <w:t>2.</w:t>
      </w:r>
      <w:r w:rsidR="002953F9" w:rsidRPr="00A37FCA">
        <w:rPr>
          <w:rFonts w:ascii="仿宋_GB2312" w:eastAsia="仿宋_GB2312" w:hAnsiTheme="minorEastAsia" w:hint="eastAsia"/>
          <w:sz w:val="28"/>
          <w:szCs w:val="28"/>
        </w:rPr>
        <w:t>录取原则</w:t>
      </w:r>
    </w:p>
    <w:p w:rsidR="002953F9" w:rsidRDefault="00A37FCA" w:rsidP="00A37FCA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A37FCA">
        <w:rPr>
          <w:rFonts w:ascii="仿宋_GB2312" w:eastAsia="仿宋_GB2312" w:hAnsiTheme="minorEastAsia" w:hint="eastAsia"/>
          <w:sz w:val="28"/>
          <w:szCs w:val="28"/>
        </w:rPr>
        <w:lastRenderedPageBreak/>
        <w:t>笔试成绩占70%，面试成绩占30%。由学院转专业工作小组根据笔试、面试的结果择优录取，并将结果公示。</w:t>
      </w:r>
    </w:p>
    <w:p w:rsidR="0018756A" w:rsidRPr="00A37FCA" w:rsidRDefault="00F97F56" w:rsidP="00A37FCA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A37FCA">
        <w:rPr>
          <w:rFonts w:ascii="仿宋_GB2312" w:eastAsia="仿宋_GB2312" w:hAnsiTheme="minorEastAsia" w:hint="eastAsia"/>
          <w:sz w:val="28"/>
          <w:szCs w:val="28"/>
        </w:rPr>
        <w:t>三、</w:t>
      </w:r>
      <w:r w:rsidR="0018756A" w:rsidRPr="00A37FCA">
        <w:rPr>
          <w:rFonts w:ascii="仿宋_GB2312" w:eastAsia="仿宋_GB2312" w:hAnsiTheme="minorEastAsia" w:hint="eastAsia"/>
          <w:sz w:val="28"/>
          <w:szCs w:val="28"/>
        </w:rPr>
        <w:t>转入本学院后的学习管理</w:t>
      </w:r>
      <w:r w:rsidRPr="00A37FCA">
        <w:rPr>
          <w:rFonts w:ascii="仿宋_GB2312" w:eastAsia="仿宋_GB2312" w:hAnsiTheme="minorEastAsia" w:hint="eastAsia"/>
          <w:sz w:val="28"/>
          <w:szCs w:val="28"/>
        </w:rPr>
        <w:t>要求</w:t>
      </w:r>
    </w:p>
    <w:p w:rsidR="0018756A" w:rsidRDefault="0042603B" w:rsidP="00A37FCA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42603B">
        <w:rPr>
          <w:rFonts w:ascii="仿宋_GB2312" w:eastAsia="仿宋_GB2312" w:hAnsiTheme="minorEastAsia" w:hint="eastAsia"/>
          <w:sz w:val="28"/>
          <w:szCs w:val="28"/>
        </w:rPr>
        <w:t>跨学科门</w:t>
      </w:r>
      <w:r>
        <w:rPr>
          <w:rFonts w:ascii="仿宋_GB2312" w:eastAsia="仿宋_GB2312" w:hAnsiTheme="minorEastAsia" w:hint="eastAsia"/>
          <w:sz w:val="28"/>
          <w:szCs w:val="28"/>
        </w:rPr>
        <w:t>类转入本学院各专业的</w:t>
      </w:r>
      <w:r w:rsidR="00956011">
        <w:rPr>
          <w:rFonts w:ascii="仿宋_GB2312" w:eastAsia="仿宋_GB2312" w:hAnsiTheme="minorEastAsia" w:hint="eastAsia"/>
          <w:sz w:val="28"/>
          <w:szCs w:val="28"/>
        </w:rPr>
        <w:t>2015级学生，建议</w:t>
      </w:r>
      <w:proofErr w:type="gramStart"/>
      <w:r w:rsidR="00956011">
        <w:rPr>
          <w:rFonts w:ascii="仿宋_GB2312" w:eastAsia="仿宋_GB2312" w:hAnsiTheme="minorEastAsia" w:hint="eastAsia"/>
          <w:sz w:val="28"/>
          <w:szCs w:val="28"/>
        </w:rPr>
        <w:t>转入低</w:t>
      </w:r>
      <w:proofErr w:type="gramEnd"/>
      <w:r w:rsidR="00956011">
        <w:rPr>
          <w:rFonts w:ascii="仿宋_GB2312" w:eastAsia="仿宋_GB2312" w:hAnsiTheme="minorEastAsia" w:hint="eastAsia"/>
          <w:sz w:val="28"/>
          <w:szCs w:val="28"/>
        </w:rPr>
        <w:t>一年级学习，经学生本人</w:t>
      </w:r>
      <w:r w:rsidRPr="0042603B">
        <w:rPr>
          <w:rFonts w:ascii="仿宋_GB2312" w:eastAsia="仿宋_GB2312" w:hAnsiTheme="minorEastAsia" w:hint="eastAsia"/>
          <w:sz w:val="28"/>
          <w:szCs w:val="28"/>
        </w:rPr>
        <w:t>申请，也可转入同一年级学习；跨学科门</w:t>
      </w:r>
      <w:r>
        <w:rPr>
          <w:rFonts w:ascii="仿宋_GB2312" w:eastAsia="仿宋_GB2312" w:hAnsiTheme="minorEastAsia" w:hint="eastAsia"/>
          <w:sz w:val="28"/>
          <w:szCs w:val="28"/>
        </w:rPr>
        <w:t>类转入本学院各专业的</w:t>
      </w:r>
      <w:r w:rsidR="00956011">
        <w:rPr>
          <w:rFonts w:ascii="仿宋_GB2312" w:eastAsia="仿宋_GB2312" w:hAnsiTheme="minorEastAsia" w:hint="eastAsia"/>
          <w:sz w:val="28"/>
          <w:szCs w:val="28"/>
        </w:rPr>
        <w:t>2014</w:t>
      </w:r>
      <w:r w:rsidRPr="0042603B">
        <w:rPr>
          <w:rFonts w:ascii="仿宋_GB2312" w:eastAsia="仿宋_GB2312" w:hAnsiTheme="minorEastAsia" w:hint="eastAsia"/>
          <w:sz w:val="28"/>
          <w:szCs w:val="28"/>
        </w:rPr>
        <w:t>级学生，</w:t>
      </w:r>
      <w:r w:rsidR="00956011">
        <w:rPr>
          <w:rFonts w:ascii="仿宋_GB2312" w:eastAsia="仿宋_GB2312" w:hAnsiTheme="minorEastAsia" w:hint="eastAsia"/>
          <w:sz w:val="28"/>
          <w:szCs w:val="28"/>
        </w:rPr>
        <w:t>原则上</w:t>
      </w:r>
      <w:r w:rsidRPr="0042603B">
        <w:rPr>
          <w:rFonts w:ascii="仿宋_GB2312" w:eastAsia="仿宋_GB2312" w:hAnsiTheme="minorEastAsia" w:hint="eastAsia"/>
          <w:sz w:val="28"/>
          <w:szCs w:val="28"/>
        </w:rPr>
        <w:t>必须</w:t>
      </w:r>
      <w:proofErr w:type="gramStart"/>
      <w:r w:rsidRPr="0042603B">
        <w:rPr>
          <w:rFonts w:ascii="仿宋_GB2312" w:eastAsia="仿宋_GB2312" w:hAnsiTheme="minorEastAsia" w:hint="eastAsia"/>
          <w:sz w:val="28"/>
          <w:szCs w:val="28"/>
        </w:rPr>
        <w:t>转入低</w:t>
      </w:r>
      <w:proofErr w:type="gramEnd"/>
      <w:r w:rsidRPr="0042603B">
        <w:rPr>
          <w:rFonts w:ascii="仿宋_GB2312" w:eastAsia="仿宋_GB2312" w:hAnsiTheme="minorEastAsia" w:hint="eastAsia"/>
          <w:sz w:val="28"/>
          <w:szCs w:val="28"/>
        </w:rPr>
        <w:t>一年级学习。</w:t>
      </w:r>
    </w:p>
    <w:p w:rsidR="0042603B" w:rsidRPr="00A37FCA" w:rsidRDefault="00C637FC" w:rsidP="00A37FCA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转专业学生应完成转入专业的培养方案方可取得毕业资格，学生应服从</w:t>
      </w:r>
      <w:r w:rsidR="00B62319">
        <w:rPr>
          <w:rFonts w:ascii="仿宋_GB2312" w:eastAsia="仿宋_GB2312" w:hAnsiTheme="minorEastAsia" w:hint="eastAsia"/>
          <w:sz w:val="28"/>
          <w:szCs w:val="28"/>
        </w:rPr>
        <w:t>学院对已修课程的学分认定</w:t>
      </w:r>
      <w:r w:rsidR="0042603B" w:rsidRPr="00C637FC">
        <w:rPr>
          <w:rFonts w:ascii="仿宋_GB2312" w:eastAsia="仿宋_GB2312" w:hAnsiTheme="minorEastAsia" w:hint="eastAsia"/>
          <w:sz w:val="28"/>
          <w:szCs w:val="28"/>
        </w:rPr>
        <w:t>，</w:t>
      </w:r>
      <w:r w:rsidR="00B62319">
        <w:rPr>
          <w:rFonts w:ascii="仿宋_GB2312" w:eastAsia="仿宋_GB2312" w:hAnsiTheme="minorEastAsia" w:hint="eastAsia"/>
          <w:sz w:val="28"/>
          <w:szCs w:val="28"/>
        </w:rPr>
        <w:t>并主动补修错过的课程。</w:t>
      </w:r>
    </w:p>
    <w:p w:rsidR="00D163FC" w:rsidRDefault="00406DFD" w:rsidP="00A37FCA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A37FCA">
        <w:rPr>
          <w:rFonts w:ascii="仿宋_GB2312" w:eastAsia="仿宋_GB2312" w:hAnsiTheme="minorEastAsia" w:hint="eastAsia"/>
          <w:sz w:val="28"/>
          <w:szCs w:val="28"/>
        </w:rPr>
        <w:t>四、</w:t>
      </w:r>
      <w:r w:rsidR="00956011">
        <w:rPr>
          <w:rFonts w:ascii="仿宋_GB2312" w:eastAsia="仿宋_GB2312" w:hAnsiTheme="minorEastAsia" w:hint="eastAsia"/>
          <w:sz w:val="28"/>
          <w:szCs w:val="28"/>
        </w:rPr>
        <w:t>学院成立由教学工作委员会和学生工作</w:t>
      </w:r>
      <w:r w:rsidR="0022633E" w:rsidRPr="008E6257">
        <w:rPr>
          <w:rFonts w:ascii="仿宋_GB2312" w:eastAsia="仿宋_GB2312" w:hAnsiTheme="minorEastAsia" w:hint="eastAsia"/>
          <w:sz w:val="28"/>
          <w:szCs w:val="28"/>
        </w:rPr>
        <w:t>负责人组成的转专业工作小组，</w:t>
      </w:r>
      <w:r w:rsidR="00D163FC" w:rsidRPr="00A37FCA">
        <w:rPr>
          <w:rFonts w:ascii="仿宋_GB2312" w:eastAsia="仿宋_GB2312" w:hAnsiTheme="minorEastAsia" w:hint="eastAsia"/>
          <w:sz w:val="28"/>
          <w:szCs w:val="28"/>
        </w:rPr>
        <w:t>主要负责转专业学生的资格审查工作，组织申请转专业学生的综合考核和录取工作，以及学生转专业后的学分认定及相关的咨询工作</w:t>
      </w:r>
      <w:r w:rsidRPr="00A37FCA">
        <w:rPr>
          <w:rFonts w:ascii="仿宋_GB2312" w:eastAsia="仿宋_GB2312" w:hAnsiTheme="minorEastAsia" w:hint="eastAsia"/>
          <w:sz w:val="28"/>
          <w:szCs w:val="28"/>
        </w:rPr>
        <w:t>。</w:t>
      </w:r>
      <w:r w:rsidR="001F5272" w:rsidRPr="008E6257">
        <w:rPr>
          <w:rFonts w:ascii="仿宋_GB2312" w:eastAsia="仿宋_GB2312" w:hAnsiTheme="minorEastAsia" w:hint="eastAsia"/>
          <w:sz w:val="28"/>
          <w:szCs w:val="28"/>
        </w:rPr>
        <w:t>转专业工作小组</w:t>
      </w:r>
      <w:r w:rsidR="001F5272">
        <w:rPr>
          <w:rFonts w:ascii="仿宋_GB2312" w:eastAsia="仿宋_GB2312" w:hAnsiTheme="minorEastAsia" w:hint="eastAsia"/>
          <w:sz w:val="28"/>
          <w:szCs w:val="28"/>
        </w:rPr>
        <w:t>名单如下：</w:t>
      </w:r>
    </w:p>
    <w:p w:rsidR="0022633E" w:rsidRDefault="0022633E" w:rsidP="00A37FCA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组长：李学华</w:t>
      </w:r>
    </w:p>
    <w:p w:rsidR="0022633E" w:rsidRDefault="00956011" w:rsidP="00A37FCA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成员：苏中、朱希安、张月霞、李红莲、吴韶波、姚彦鑫</w:t>
      </w:r>
      <w:r w:rsidR="0022633E">
        <w:rPr>
          <w:rFonts w:ascii="仿宋_GB2312" w:eastAsia="仿宋_GB2312" w:hAnsiTheme="minorEastAsia" w:hint="eastAsia"/>
          <w:sz w:val="28"/>
          <w:szCs w:val="28"/>
        </w:rPr>
        <w:t>、焦瑞莉</w:t>
      </w:r>
      <w:r>
        <w:rPr>
          <w:rFonts w:ascii="仿宋_GB2312" w:eastAsia="仿宋_GB2312" w:hAnsiTheme="minorEastAsia" w:hint="eastAsia"/>
          <w:sz w:val="28"/>
          <w:szCs w:val="28"/>
        </w:rPr>
        <w:t>、程立军</w:t>
      </w:r>
    </w:p>
    <w:p w:rsidR="0022633E" w:rsidRPr="0022633E" w:rsidRDefault="0022633E" w:rsidP="00A37FCA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秘书：张良</w:t>
      </w:r>
      <w:proofErr w:type="gramStart"/>
      <w:r>
        <w:rPr>
          <w:rFonts w:ascii="仿宋_GB2312" w:eastAsia="仿宋_GB2312" w:hAnsiTheme="minorEastAsia" w:hint="eastAsia"/>
          <w:sz w:val="28"/>
          <w:szCs w:val="28"/>
        </w:rPr>
        <w:t>胤</w:t>
      </w:r>
      <w:proofErr w:type="gramEnd"/>
    </w:p>
    <w:p w:rsidR="00D163FC" w:rsidRDefault="0052735E" w:rsidP="0022633E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五、本细则由</w:t>
      </w:r>
      <w:r w:rsidR="0022633E" w:rsidRPr="0022633E">
        <w:rPr>
          <w:rFonts w:ascii="仿宋_GB2312" w:eastAsia="仿宋_GB2312" w:hAnsiTheme="minorEastAsia" w:hint="eastAsia"/>
          <w:sz w:val="28"/>
          <w:szCs w:val="28"/>
        </w:rPr>
        <w:t>学院</w:t>
      </w:r>
      <w:r w:rsidRPr="008E6257">
        <w:rPr>
          <w:rFonts w:ascii="仿宋_GB2312" w:eastAsia="仿宋_GB2312" w:hAnsiTheme="minorEastAsia" w:hint="eastAsia"/>
          <w:sz w:val="28"/>
          <w:szCs w:val="28"/>
        </w:rPr>
        <w:t>转专业工作小组</w:t>
      </w:r>
      <w:r w:rsidR="0022633E" w:rsidRPr="0022633E">
        <w:rPr>
          <w:rFonts w:ascii="仿宋_GB2312" w:eastAsia="仿宋_GB2312" w:hAnsiTheme="minorEastAsia" w:hint="eastAsia"/>
          <w:sz w:val="28"/>
          <w:szCs w:val="28"/>
        </w:rPr>
        <w:t>负责解释。</w:t>
      </w:r>
    </w:p>
    <w:p w:rsidR="0022633E" w:rsidRDefault="0022633E" w:rsidP="0022633E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</w:p>
    <w:p w:rsidR="0022633E" w:rsidRDefault="0022633E" w:rsidP="0022633E">
      <w:pPr>
        <w:ind w:firstLineChars="200" w:firstLine="560"/>
        <w:jc w:val="righ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信息与通信工程学院</w:t>
      </w:r>
    </w:p>
    <w:p w:rsidR="0022633E" w:rsidRPr="0022633E" w:rsidRDefault="00956011" w:rsidP="0022633E">
      <w:pPr>
        <w:ind w:right="140" w:firstLineChars="200" w:firstLine="560"/>
        <w:jc w:val="righ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2016</w:t>
      </w:r>
      <w:r w:rsidR="0022633E">
        <w:rPr>
          <w:rFonts w:ascii="仿宋_GB2312" w:eastAsia="仿宋_GB2312" w:hAnsiTheme="minorEastAsia" w:hint="eastAsia"/>
          <w:sz w:val="28"/>
          <w:szCs w:val="28"/>
        </w:rPr>
        <w:t>年4月</w:t>
      </w:r>
      <w:r w:rsidR="000E2465">
        <w:rPr>
          <w:rFonts w:ascii="仿宋_GB2312" w:eastAsia="仿宋_GB2312" w:hAnsiTheme="minorEastAsia" w:hint="eastAsia"/>
          <w:sz w:val="28"/>
          <w:szCs w:val="28"/>
        </w:rPr>
        <w:t>19</w:t>
      </w:r>
      <w:r w:rsidR="0022633E">
        <w:rPr>
          <w:rFonts w:ascii="仿宋_GB2312" w:eastAsia="仿宋_GB2312" w:hAnsiTheme="minorEastAsia" w:hint="eastAsia"/>
          <w:sz w:val="28"/>
          <w:szCs w:val="28"/>
        </w:rPr>
        <w:t>日</w:t>
      </w:r>
    </w:p>
    <w:sectPr w:rsidR="0022633E" w:rsidRPr="0022633E" w:rsidSect="00726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0A2" w:rsidRDefault="004550A2" w:rsidP="002953F9">
      <w:r>
        <w:separator/>
      </w:r>
    </w:p>
  </w:endnote>
  <w:endnote w:type="continuationSeparator" w:id="0">
    <w:p w:rsidR="004550A2" w:rsidRDefault="004550A2" w:rsidP="002953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0A2" w:rsidRDefault="004550A2" w:rsidP="002953F9">
      <w:r>
        <w:separator/>
      </w:r>
    </w:p>
  </w:footnote>
  <w:footnote w:type="continuationSeparator" w:id="0">
    <w:p w:rsidR="004550A2" w:rsidRDefault="004550A2" w:rsidP="002953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233A1"/>
    <w:multiLevelType w:val="hybridMultilevel"/>
    <w:tmpl w:val="83B07C7E"/>
    <w:lvl w:ilvl="0" w:tplc="5A3635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C71399"/>
    <w:multiLevelType w:val="hybridMultilevel"/>
    <w:tmpl w:val="214224DE"/>
    <w:lvl w:ilvl="0" w:tplc="29EA72D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0542F3"/>
    <w:multiLevelType w:val="hybridMultilevel"/>
    <w:tmpl w:val="423A026C"/>
    <w:lvl w:ilvl="0" w:tplc="4CA6E5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EC21F0"/>
    <w:multiLevelType w:val="hybridMultilevel"/>
    <w:tmpl w:val="7E144A8A"/>
    <w:lvl w:ilvl="0" w:tplc="1C02CB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E5059D"/>
    <w:multiLevelType w:val="hybridMultilevel"/>
    <w:tmpl w:val="18A6D9CC"/>
    <w:lvl w:ilvl="0" w:tplc="4052E030">
      <w:start w:val="2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56A"/>
    <w:rsid w:val="00047420"/>
    <w:rsid w:val="000800FE"/>
    <w:rsid w:val="000E2465"/>
    <w:rsid w:val="001076B6"/>
    <w:rsid w:val="00115654"/>
    <w:rsid w:val="00130E64"/>
    <w:rsid w:val="0018756A"/>
    <w:rsid w:val="001E25CC"/>
    <w:rsid w:val="001F5272"/>
    <w:rsid w:val="0022272E"/>
    <w:rsid w:val="0022633E"/>
    <w:rsid w:val="002359A8"/>
    <w:rsid w:val="002953F9"/>
    <w:rsid w:val="002A2D5A"/>
    <w:rsid w:val="00331B6C"/>
    <w:rsid w:val="003778E7"/>
    <w:rsid w:val="003A04EC"/>
    <w:rsid w:val="00406DFD"/>
    <w:rsid w:val="0042603B"/>
    <w:rsid w:val="004550A2"/>
    <w:rsid w:val="004D661B"/>
    <w:rsid w:val="004F2E70"/>
    <w:rsid w:val="0052735E"/>
    <w:rsid w:val="00537997"/>
    <w:rsid w:val="00583E20"/>
    <w:rsid w:val="005A77BA"/>
    <w:rsid w:val="005C4536"/>
    <w:rsid w:val="005F71FD"/>
    <w:rsid w:val="00605F48"/>
    <w:rsid w:val="00661413"/>
    <w:rsid w:val="00674023"/>
    <w:rsid w:val="00684DE6"/>
    <w:rsid w:val="006A3403"/>
    <w:rsid w:val="00726278"/>
    <w:rsid w:val="00736D5B"/>
    <w:rsid w:val="007B02B8"/>
    <w:rsid w:val="007C3263"/>
    <w:rsid w:val="008E6257"/>
    <w:rsid w:val="0095522A"/>
    <w:rsid w:val="00956011"/>
    <w:rsid w:val="00A37FCA"/>
    <w:rsid w:val="00A86321"/>
    <w:rsid w:val="00B62319"/>
    <w:rsid w:val="00B86741"/>
    <w:rsid w:val="00BA7624"/>
    <w:rsid w:val="00BB088B"/>
    <w:rsid w:val="00C032AF"/>
    <w:rsid w:val="00C310AB"/>
    <w:rsid w:val="00C637FC"/>
    <w:rsid w:val="00C67C0C"/>
    <w:rsid w:val="00C76556"/>
    <w:rsid w:val="00D163FC"/>
    <w:rsid w:val="00D958D8"/>
    <w:rsid w:val="00DC4EB3"/>
    <w:rsid w:val="00E04A19"/>
    <w:rsid w:val="00E71F32"/>
    <w:rsid w:val="00F97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2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56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95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953F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95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953F9"/>
    <w:rPr>
      <w:sz w:val="18"/>
      <w:szCs w:val="18"/>
    </w:rPr>
  </w:style>
  <w:style w:type="table" w:styleId="a6">
    <w:name w:val="Table Grid"/>
    <w:basedOn w:val="a1"/>
    <w:uiPriority w:val="59"/>
    <w:rsid w:val="002953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link w:val="2Char"/>
    <w:rsid w:val="00130E64"/>
    <w:pPr>
      <w:spacing w:line="520" w:lineRule="exact"/>
      <w:ind w:firstLineChars="200" w:firstLine="640"/>
    </w:pPr>
    <w:rPr>
      <w:rFonts w:ascii="仿宋_GB2312" w:eastAsia="仿宋_GB2312" w:hAnsi="Times New Roman" w:cs="Times New Roman"/>
      <w:sz w:val="32"/>
      <w:szCs w:val="30"/>
    </w:rPr>
  </w:style>
  <w:style w:type="character" w:customStyle="1" w:styleId="2Char">
    <w:name w:val="正文文本缩进 2 Char"/>
    <w:basedOn w:val="a0"/>
    <w:link w:val="2"/>
    <w:rsid w:val="00130E64"/>
    <w:rPr>
      <w:rFonts w:ascii="仿宋_GB2312" w:eastAsia="仿宋_GB2312" w:hAnsi="Times New Roman" w:cs="Times New Roman"/>
      <w:sz w:val="32"/>
      <w:szCs w:val="30"/>
    </w:rPr>
  </w:style>
  <w:style w:type="paragraph" w:styleId="a7">
    <w:name w:val="Balloon Text"/>
    <w:basedOn w:val="a"/>
    <w:link w:val="Char1"/>
    <w:uiPriority w:val="99"/>
    <w:semiHidden/>
    <w:unhideWhenUsed/>
    <w:rsid w:val="003778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78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A3A719-687E-453F-9D40-3E8904CFC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147</Words>
  <Characters>843</Characters>
  <Application>Microsoft Office Word</Application>
  <DocSecurity>0</DocSecurity>
  <Lines>7</Lines>
  <Paragraphs>1</Paragraphs>
  <ScaleCrop>false</ScaleCrop>
  <Company>adminimi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通信学院办公室 </cp:lastModifiedBy>
  <cp:revision>5</cp:revision>
  <cp:lastPrinted>2015-04-21T06:46:00Z</cp:lastPrinted>
  <dcterms:created xsi:type="dcterms:W3CDTF">2016-04-15T05:04:00Z</dcterms:created>
  <dcterms:modified xsi:type="dcterms:W3CDTF">2016-04-19T02:54:00Z</dcterms:modified>
</cp:coreProperties>
</file>