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Liberation Serif" w:hAnsi="Liberation Serif"/>
          <w:b/>
          <w:sz w:val="36"/>
        </w:rPr>
        <w:t>Supply Chain Disruption Predictor Documentation</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spacing w:line="240" w:lineRule="auto"/>
        <w:jc w:val="left"/>
      </w:pPr>
      <w:r>
        <w:rPr>
          <w:rFonts w:ascii="Liberation Serif" w:hAnsi="Liberation Serif"/>
          <w:b/>
          <w:sz w:val="28"/>
        </w:rP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Unique document identifier.</w:t>
            </w:r>
          </w:p>
        </w:tc>
      </w:tr>
      <w:tr>
        <w:tc>
          <w:tcPr>
            <w:tcW w:type="dxa" w:w="2880"/>
          </w:tcPr>
          <w:p>
            <w:pPr>
              <w:spacing w:line="240" w:lineRule="auto"/>
              <w:jc w:val="left"/>
            </w:pPr>
            <w:r>
              <w:rPr>
                <w:rFonts w:ascii="Liberation Serif" w:hAnsi="Liberation Serif"/>
                <w:b w:val="0"/>
                <w:sz w:val="22"/>
              </w:rPr>
              <w:t>source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Publication name fetching the news.</w:t>
            </w:r>
          </w:p>
        </w:tc>
      </w:tr>
      <w:tr>
        <w:tc>
          <w:tcPr>
            <w:tcW w:type="dxa" w:w="2880"/>
          </w:tcPr>
          <w:p>
            <w:pPr>
              <w:spacing w:line="240" w:lineRule="auto"/>
              <w:jc w:val="left"/>
            </w:pPr>
            <w:r>
              <w:rPr>
                <w:rFonts w:ascii="Liberation Serif" w:hAnsi="Liberation Serif"/>
                <w:b w:val="0"/>
                <w:sz w:val="22"/>
              </w:rPr>
              <w:t>sentiment</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Positive / Neutral / Negative.</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Alert identifier.</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Risk severity ranging from Low to High.</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region_name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Target geographical location.</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Computed AI risk severity (Low, Medium, High).</w:t>
            </w:r>
          </w:p>
        </w:tc>
      </w:tr>
      <w:tr>
        <w:tc>
          <w:tcPr>
            <w:tcW w:type="dxa" w:w="2880"/>
          </w:tcPr>
          <w:p>
            <w:pPr>
              <w:spacing w:line="240" w:lineRule="auto"/>
              <w:jc w:val="left"/>
            </w:pPr>
            <w:r>
              <w:rPr>
                <w:rFonts w:ascii="Liberation Serif" w:hAnsi="Liberation Serif"/>
                <w:b w:val="0"/>
                <w:sz w:val="22"/>
              </w:rPr>
              <w:t>alerts</w:t>
            </w:r>
          </w:p>
        </w:tc>
        <w:tc>
          <w:tcPr>
            <w:tcW w:type="dxa" w:w="2880"/>
          </w:tcPr>
          <w:p>
            <w:pPr>
              <w:spacing w:line="240" w:lineRule="auto"/>
              <w:jc w:val="left"/>
            </w:pPr>
            <w:r>
              <w:rPr>
                <w:rFonts w:ascii="Liberation Serif" w:hAnsi="Liberation Serif"/>
                <w:b w:val="0"/>
                <w:sz w:val="22"/>
              </w:rPr>
              <w:t>List</w:t>
            </w:r>
          </w:p>
        </w:tc>
        <w:tc>
          <w:tcPr>
            <w:tcW w:type="dxa" w:w="2880"/>
          </w:tcPr>
          <w:p>
            <w:pPr>
              <w:spacing w:line="240" w:lineRule="auto"/>
              <w:jc w:val="left"/>
            </w:pPr>
            <w:r>
              <w:rPr>
                <w:rFonts w:ascii="Liberation Serif" w:hAnsi="Liberation Serif"/>
                <w:b w:val="0"/>
                <w:sz w:val="22"/>
              </w:rPr>
              <w:t>Embedded collection of current regional warnings.</w:t>
            </w:r>
          </w:p>
        </w:tc>
      </w:tr>
    </w:tbl>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spacing w:line="240" w:lineRule="auto"/>
        <w:jc w:val="left"/>
      </w:pPr>
      <w:r>
        <w:rPr>
          <w:rFonts w:ascii="Liberation Serif" w:hAnsi="Liberation Serif"/>
          <w:b/>
          <w:sz w:val="28"/>
        </w:rPr>
        <w:t>Dashboard Layout</w:t>
      </w:r>
    </w:p>
    <w:p>
      <w:pPr>
        <w:spacing w:line="240" w:lineRule="auto"/>
        <w:jc w:val="both"/>
      </w:pPr>
      <w:r>
        <w:rPr>
          <w:rFonts w:ascii="Liberation Serif" w:hAnsi="Liberation Serif"/>
          <w:b w:val="0"/>
          <w:sz w:val="24"/>
        </w:rPr>
        <w:t>Top Panel: Executive Summary KPIs (Active Alerts, Regions Monitored, Critical Disruptions).</w:t>
      </w:r>
    </w:p>
    <w:p>
      <w:pPr>
        <w:spacing w:line="240" w:lineRule="auto"/>
        <w:jc w:val="both"/>
      </w:pPr>
      <w:r>
        <w:rPr>
          <w:rFonts w:ascii="Liberation Serif" w:hAnsi="Liberation Serif"/>
          <w:b w:val="0"/>
          <w:sz w:val="24"/>
        </w:rPr>
        <w:t>Center Interface: Interactive Geographic Canvas (SVG-based D3 Map) projecting active regional threats colored by intensity (Red/Amber/Green).</w:t>
      </w:r>
    </w:p>
    <w:p>
      <w:pPr>
        <w:spacing w:line="240" w:lineRule="auto"/>
        <w:jc w:val="both"/>
      </w:pPr>
      <w:r>
        <w:rPr>
          <w:rFonts w:ascii="Liberation Serif" w:hAnsi="Liberation Serif"/>
          <w:b w:val="0"/>
          <w:sz w:val="24"/>
        </w:rPr>
        <w:t>Right Sidebar: High-alert real-time news articles matched with semantic sentiment indicators.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Mobile Responsive View</w:t>
      </w:r>
    </w:p>
    <w:p>
      <w:pPr>
        <w:spacing w:line="240" w:lineRule="auto"/>
        <w:jc w:val="both"/>
      </w:pPr>
      <w:r>
        <w:rPr>
          <w:rFonts w:ascii="Liberation Serif" w:hAnsi="Liberation Serif"/>
          <w:b w:val="0"/>
          <w:sz w:val="24"/>
        </w:rPr>
        <w:t>Stack-based representation prioritizing KPI alerts on top, followed by the map, collapsing trend analysis data at the bottom of the column structure.</w:t>
      </w:r>
    </w:p>
    <w:p>
      <w:pPr>
        <w:jc w:val="center"/>
      </w:pPr>
      <w:r>
        <w:drawing>
          <wp:inline xmlns:a="http://schemas.openxmlformats.org/drawingml/2006/main" xmlns:pic="http://schemas.openxmlformats.org/drawingml/2006/picture">
            <wp:extent cx="2743200" cy="4879238"/>
            <wp:docPr id="2" name="Picture 2"/>
            <wp:cNvGraphicFramePr>
              <a:graphicFrameLocks noChangeAspect="1"/>
            </wp:cNvGraphicFramePr>
            <a:graphic>
              <a:graphicData uri="http://schemas.openxmlformats.org/drawingml/2006/picture">
                <pic:pic>
                  <pic:nvPicPr>
                    <pic:cNvPr id="0" name="dashboard_mobile.png"/>
                    <pic:cNvPicPr/>
                  </pic:nvPicPr>
                  <pic:blipFill>
                    <a:blip r:embed="rId11"/>
                    <a:stretch>
                      <a:fillRect/>
                    </a:stretch>
                  </pic:blipFill>
                  <pic:spPr>
                    <a:xfrm>
                      <a:off x="0" y="0"/>
                      <a:ext cx="2743200" cy="4879238"/>
                    </a:xfrm>
                    <a:prstGeom prst="rect"/>
                  </pic:spPr>
                </pic:pic>
              </a:graphicData>
            </a:graphic>
          </wp:inline>
        </w:drawing>
      </w:r>
    </w:p>
    <w:p>
      <w:pPr>
        <w:spacing w:line="240" w:lineRule="auto"/>
        <w:jc w:val="left"/>
      </w:pPr>
      <w:r>
        <w:rPr>
          <w:rFonts w:ascii="Liberation Serif" w:hAnsi="Liberation Serif"/>
          <w:b/>
          <w:sz w:val="28"/>
        </w:rP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predictions.png"/>
                    <pic:cNvPicPr/>
                  </pic:nvPicPr>
                  <pic:blipFill>
                    <a:blip r:embed="rId12"/>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alerts.png"/>
                    <pic:cNvPicPr/>
                  </pic:nvPicPr>
                  <pic:blipFill>
                    <a:blip r:embed="rId13"/>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uppliers.png"/>
                    <pic:cNvPicPr/>
                  </pic:nvPicPr>
                  <pic:blipFill>
                    <a:blip r:embed="rId14"/>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ports.png"/>
                    <pic:cNvPicPr/>
                  </pic:nvPicPr>
                  <pic:blipFill>
                    <a:blip r:embed="rId15"/>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analytics.png"/>
                    <pic:cNvPicPr/>
                  </pic:nvPicPr>
                  <pic:blipFill>
                    <a:blip r:embed="rId16"/>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settings.png"/>
                    <pic:cNvPicPr/>
                  </pic:nvPicPr>
                  <pic:blipFill>
                    <a:blip r:embed="rId17"/>
                    <a:stretch>
                      <a:fillRect/>
                    </a:stretch>
                  </pic:blipFill>
                  <pic:spPr>
                    <a:xfrm>
                      <a:off x="0" y="0"/>
                      <a:ext cx="5486400" cy="3429000"/>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spacing w:line="240" w:lineRule="auto"/>
        <w:jc w:val="left"/>
      </w:pPr>
      <w:r>
        <w:rPr>
          <w:rFonts w:ascii="Liberation Serif" w:hAnsi="Liberation Serif"/>
          <w:b/>
          <w:sz w:val="28"/>
        </w:rPr>
        <w:t>Weekly Threat Assessment Report</w:t>
      </w:r>
    </w:p>
    <w:p>
      <w:pPr>
        <w:spacing w:line="240" w:lineRule="auto"/>
        <w:jc w:val="both"/>
      </w:pPr>
      <w:r>
        <w:rPr>
          <w:rFonts w:ascii="Liberation Serif" w:hAnsi="Liberation Serif"/>
          <w:b w:val="0"/>
          <w:sz w:val="24"/>
        </w:rPr>
        <w:t>- Title Header: Time period and target domain.</w:t>
      </w:r>
    </w:p>
    <w:p>
      <w:pPr>
        <w:spacing w:line="240" w:lineRule="auto"/>
        <w:jc w:val="both"/>
      </w:pPr>
      <w:r>
        <w:rPr>
          <w:rFonts w:ascii="Liberation Serif" w:hAnsi="Liberation Serif"/>
          <w:b w:val="0"/>
          <w:sz w:val="24"/>
        </w:rPr>
        <w:t>- Section A: Statistical abstract of top forecasted hazards.</w:t>
      </w:r>
    </w:p>
    <w:p>
      <w:pPr>
        <w:spacing w:line="240" w:lineRule="auto"/>
        <w:jc w:val="both"/>
      </w:pPr>
      <w:r>
        <w:rPr>
          <w:rFonts w:ascii="Liberation Serif" w:hAnsi="Liberation Serif"/>
          <w:b w:val="0"/>
          <w:sz w:val="24"/>
        </w:rPr>
        <w:t>- Section B: Tabular data representation listing specific suppliers or regions experiencing turbulence.</w:t>
      </w:r>
    </w:p>
    <w:p>
      <w:pPr>
        <w:spacing w:line="240" w:lineRule="auto"/>
        <w:jc w:val="both"/>
      </w:pPr>
      <w:r>
        <w:rPr>
          <w:rFonts w:ascii="Liberation Serif" w:hAnsi="Liberation Serif"/>
          <w:b w:val="0"/>
          <w:sz w:val="24"/>
        </w:rPr>
        <w:t>- Section C: Evaluative graph charting 30-day trailing disruption probability indices vs. predicted actuals.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r>
    </w:p>
    <w:p>
      <w:pPr>
        <w:spacing w:line="240" w:lineRule="auto"/>
        <w:jc w:val="both"/>
      </w:pPr>
      <w:r>
        <w:rPr>
          <w:rFonts w:ascii="Liberation Serif" w:hAnsi="Liberation Serif"/>
          <w:b w:val="0"/>
          <w:sz w:val="24"/>
        </w:rPr>
        <w:t>from app.models import DashboardSummary</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 = APIRouter()</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@router.get("/api/dashboard/summary", response_model=DashboardSummary)</w:t>
      </w:r>
    </w:p>
    <w:p>
      <w:pPr>
        <w:spacing w:line="240" w:lineRule="auto"/>
        <w:jc w:val="both"/>
      </w:pPr>
      <w:r>
        <w:rPr>
          <w:rFonts w:ascii="Liberation Serif" w:hAnsi="Liberation Serif"/>
          <w:b w:val="0"/>
          <w:sz w:val="24"/>
        </w:rPr>
        <w:t>async def get_dashboard_summary():</w:t>
      </w:r>
    </w:p>
    <w:p>
      <w:pPr>
        <w:spacing w:line="240" w:lineRule="auto"/>
        <w:jc w:val="both"/>
      </w:pPr>
      <w:r>
        <w:rPr>
          <w:rFonts w:ascii="Liberation Serif" w:hAnsi="Liberation Serif"/>
          <w:b w:val="0"/>
          <w:sz w:val="24"/>
        </w:rPr>
        <w:t xml:space="preserve">    """Retrieve summarized executive insights"""</w:t>
      </w:r>
    </w:p>
    <w:p>
      <w:pPr>
        <w:spacing w:line="240" w:lineRule="auto"/>
        <w:jc w:val="both"/>
      </w:pPr>
      <w:r>
        <w:rPr>
          <w:rFonts w:ascii="Liberation Serif" w:hAnsi="Liberation Serif"/>
          <w:b w:val="0"/>
          <w:sz w:val="24"/>
        </w:rPr>
        <w:t xml:space="preserve">    return {</w:t>
      </w:r>
    </w:p>
    <w:p>
      <w:pPr>
        <w:spacing w:line="240" w:lineRule="auto"/>
        <w:jc w:val="both"/>
      </w:pPr>
      <w:r>
        <w:rPr>
          <w:rFonts w:ascii="Liberation Serif" w:hAnsi="Liberation Serif"/>
          <w:b w:val="0"/>
          <w:sz w:val="24"/>
        </w:rPr>
        <w:t xml:space="preserve">        "active_alerts": 12,</w:t>
      </w:r>
    </w:p>
    <w:p>
      <w:pPr>
        <w:spacing w:line="240" w:lineRule="auto"/>
        <w:jc w:val="both"/>
      </w:pPr>
      <w:r>
        <w:rPr>
          <w:rFonts w:ascii="Liberation Serif" w:hAnsi="Liberation Serif"/>
          <w:b w:val="0"/>
          <w:sz w:val="24"/>
        </w:rPr>
        <w:t xml:space="preserve">        "high_risk_regions": 2,</w:t>
      </w:r>
    </w:p>
    <w:p>
      <w:pPr>
        <w:spacing w:line="240" w:lineRule="auto"/>
        <w:jc w:val="both"/>
      </w:pPr>
      <w:r>
        <w:rPr>
          <w:rFonts w:ascii="Liberation Serif" w:hAnsi="Liberation Serif"/>
          <w:b w:val="0"/>
          <w:sz w:val="24"/>
        </w:rPr>
        <w:t xml:space="preserve">        "overall_status": "Moderate Risk"</w:t>
      </w:r>
    </w:p>
    <w:p>
      <w:pPr>
        <w:spacing w:line="240" w:lineRule="auto"/>
        <w:jc w:val="both"/>
      </w:pPr>
      <w:r>
        <w:rPr>
          <w:rFonts w:ascii="Liberation Serif" w:hAnsi="Liberation Serif"/>
          <w:b w:val="0"/>
          <w:sz w:val="24"/>
        </w:rPr>
        <w:t xml:space="preserve">    }</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11. Future Enhancements</w:t>
      </w:r>
    </w:p>
    <w:p>
      <w:pPr>
        <w:spacing w:line="240" w:lineRule="auto"/>
        <w:jc w:val="both"/>
      </w:pPr>
      <w:r>
        <w:rPr>
          <w:rFonts w:ascii="Liberation Serif" w:hAnsi="Liberation Serif"/>
          <w:b w:val="0"/>
          <w:sz w:val="24"/>
        </w:rPr>
        <w:t>To scale and mature the platform, the following advancements are planned:</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12.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13. Bibliography</w:t>
      </w:r>
    </w:p>
    <w:p>
      <w:pPr>
        <w:spacing w:line="240" w:lineRule="auto"/>
        <w:jc w:val="both"/>
      </w:pPr>
      <w:r>
        <w:rPr>
          <w:rFonts w:ascii="Liberation Serif" w:hAnsi="Liberation Serif"/>
          <w:b w:val="0"/>
          <w:sz w:val="24"/>
        </w:rPr>
        <w:t>[1] React Documentation. Available at: https://reactjs.org/</w:t>
      </w:r>
    </w:p>
    <w:p>
      <w:pPr>
        <w:spacing w:line="240" w:lineRule="auto"/>
        <w:jc w:val="both"/>
      </w:pPr>
      <w:r>
        <w:rPr>
          <w:rFonts w:ascii="Liberation Serif" w:hAnsi="Liberation Serif"/>
          <w:b w:val="0"/>
          <w:sz w:val="24"/>
        </w:rPr>
        <w:t>[2] FastAPI Documentation. Available at: https://fastapi.tiangolo.com/</w:t>
      </w:r>
    </w:p>
    <w:p>
      <w:pPr>
        <w:spacing w:line="240" w:lineRule="auto"/>
        <w:jc w:val="both"/>
      </w:pPr>
      <w:r>
        <w:rPr>
          <w:rFonts w:ascii="Liberation Serif" w:hAnsi="Liberation Serif"/>
          <w:b w:val="0"/>
          <w:sz w:val="24"/>
        </w:rPr>
        <w:t>[3] Meta Prophet - Open Source Forecasting. Available at: https://facebook.github.io/prophet/</w:t>
      </w:r>
    </w:p>
    <w:p>
      <w:pPr>
        <w:spacing w:line="240" w:lineRule="auto"/>
        <w:jc w:val="both"/>
      </w:pPr>
      <w:r>
        <w:rPr>
          <w:rFonts w:ascii="Liberation Serif" w:hAnsi="Liberation Serif"/>
          <w:b w:val="0"/>
          <w:sz w:val="24"/>
        </w:rPr>
        <w:t>[4] MongoDB Python Driver API Notes. Available at: https://pymongo.readthedocs.io/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b w:val="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