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Chain Disruption Predictor</w:t>
      </w:r>
    </w:p>
    <w:p>
      <w:pPr>
        <w:pStyle w:val="Heading1"/>
      </w:pPr>
      <w:r>
        <w:t>4. Acknowledgement</w:t>
      </w:r>
    </w:p>
    <w:p>
      <w:pPr>
        <w:spacing w:line="240" w:lineRule="auto"/>
        <w:jc w:val="both"/>
      </w:pPr>
      <w:r>
        <w:rPr>
          <w:rFonts w:ascii="Liberation Serif" w:hAnsi="Liberation Serif"/>
          <w:b w:val="0"/>
          <w:sz w:val="24"/>
        </w:rPr>
        <w:t>I would like to express my profound gratitude to my guiding professor and the institution for their invaluable support, guidance, and encouragement throughout the duration of this Capstone Project. Their mentorship was instrumental in the successful completion of the 'Supply Chain Disruption Predictor' system.</w:t>
      </w:r>
    </w:p>
    <w:p>
      <w:r>
        <w:br w:type="page"/>
      </w:r>
    </w:p>
    <w:p>
      <w:pPr>
        <w:pStyle w:val="Heading1"/>
      </w:pPr>
      <w:r>
        <w:t>5. Index</w:t>
      </w:r>
    </w:p>
    <w:p>
      <w:pPr>
        <w:spacing w:line="240" w:lineRule="auto"/>
        <w:jc w:val="left"/>
      </w:pPr>
      <w:r>
        <w:rPr>
          <w:rFonts w:ascii="Liberation Serif" w:hAnsi="Liberation Serif"/>
          <w:b w:val="0"/>
          <w:sz w:val="20"/>
        </w:rPr>
        <w:t>Note: You may need to right-click below and select 'Update Field' -&gt; 'Update entire table' in MS Word to render the page numbers properly.</w:t>
      </w:r>
    </w:p>
    <w:p>
      <w:r>
        <w:fldChar w:fldCharType="begin"/>
        <w:instrText xml:space="preserve">TOC \o "1-3" \h \z \u</w:instrText>
        <w:fldChar w:fldCharType="separate"/>
        <w:fldChar w:fldCharType="end"/>
      </w:r>
    </w:p>
    <w:p>
      <w:r>
        <w:br w:type="page"/>
      </w:r>
    </w:p>
    <w:p>
      <w:pPr>
        <w:pStyle w:val="Heading1"/>
      </w:pPr>
      <w:r>
        <w:t>6. UML Diagrams / System Diagrams</w:t>
      </w:r>
    </w:p>
    <w:p>
      <w:pPr>
        <w:spacing w:line="240" w:lineRule="auto"/>
        <w:jc w:val="both"/>
      </w:pPr>
      <w:r>
        <w:rPr>
          <w:rFonts w:ascii="Liberation Serif" w:hAnsi="Liberation Serif"/>
          <w:b w:val="0"/>
          <w:sz w:val="24"/>
        </w:rPr>
        <w:t>The following architectural and design diagrams illustrate the core structure of the predictive supply chain system:</w:t>
      </w:r>
    </w:p>
    <w:p>
      <w:pPr>
        <w:pStyle w:val="Heading2"/>
      </w:pPr>
      <w:r>
        <w:t>Use Case Diagram</w:t>
      </w:r>
    </w:p>
    <w:p>
      <w:pPr>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4572000" cy="3048000"/>
                    </a:xfrm>
                    <a:prstGeom prst="rect"/>
                  </pic:spPr>
                </pic:pic>
              </a:graphicData>
            </a:graphic>
          </wp:inline>
        </w:drawing>
      </w:r>
    </w:p>
    <w:p>
      <w:pPr>
        <w:pStyle w:val="Heading2"/>
      </w:pPr>
      <w:r>
        <w:t>Class Diagram</w:t>
      </w:r>
    </w:p>
    <w:p>
      <w:pPr>
        <w:jc w:val="center"/>
      </w:pPr>
      <w:r>
        <w:drawing>
          <wp:inline xmlns:a="http://schemas.openxmlformats.org/drawingml/2006/main" xmlns:pic="http://schemas.openxmlformats.org/drawingml/2006/picture">
            <wp:extent cx="4572000" cy="5623913"/>
            <wp:docPr id="2" name="Picture 2"/>
            <wp:cNvGraphicFramePr>
              <a:graphicFrameLocks noChangeAspect="1"/>
            </wp:cNvGraphicFramePr>
            <a:graphic>
              <a:graphicData uri="http://schemas.openxmlformats.org/drawingml/2006/picture">
                <pic:pic>
                  <pic:nvPicPr>
                    <pic:cNvPr id="0" name="class_diagram_capstone_.jpg.jpeg"/>
                    <pic:cNvPicPr/>
                  </pic:nvPicPr>
                  <pic:blipFill>
                    <a:blip r:embed="rId11"/>
                    <a:stretch>
                      <a:fillRect/>
                    </a:stretch>
                  </pic:blipFill>
                  <pic:spPr>
                    <a:xfrm>
                      <a:off x="0" y="0"/>
                      <a:ext cx="4572000" cy="5623913"/>
                    </a:xfrm>
                    <a:prstGeom prst="rect"/>
                  </pic:spPr>
                </pic:pic>
              </a:graphicData>
            </a:graphic>
          </wp:inline>
        </w:drawing>
      </w:r>
    </w:p>
    <w:p>
      <w:pPr>
        <w:pStyle w:val="Heading2"/>
      </w:pPr>
      <w:r>
        <w:t>Object Diagram 1</w:t>
      </w:r>
    </w:p>
    <w:p>
      <w:pPr>
        <w:jc w:val="center"/>
      </w:pPr>
      <w:r>
        <w:drawing>
          <wp:inline xmlns:a="http://schemas.openxmlformats.org/drawingml/2006/main" xmlns:pic="http://schemas.openxmlformats.org/drawingml/2006/picture">
            <wp:extent cx="4572000" cy="12578576"/>
            <wp:docPr id="3" name="Picture 3"/>
            <wp:cNvGraphicFramePr>
              <a:graphicFrameLocks noChangeAspect="1"/>
            </wp:cNvGraphicFramePr>
            <a:graphic>
              <a:graphicData uri="http://schemas.openxmlformats.org/drawingml/2006/picture">
                <pic:pic>
                  <pic:nvPicPr>
                    <pic:cNvPr id="0" name="object_diagram_capstone_.jpg.jpeg"/>
                    <pic:cNvPicPr/>
                  </pic:nvPicPr>
                  <pic:blipFill>
                    <a:blip r:embed="rId12"/>
                    <a:stretch>
                      <a:fillRect/>
                    </a:stretch>
                  </pic:blipFill>
                  <pic:spPr>
                    <a:xfrm>
                      <a:off x="0" y="0"/>
                      <a:ext cx="4572000" cy="12578576"/>
                    </a:xfrm>
                    <a:prstGeom prst="rect"/>
                  </pic:spPr>
                </pic:pic>
              </a:graphicData>
            </a:graphic>
          </wp:inline>
        </w:drawing>
      </w:r>
    </w:p>
    <w:p>
      <w:pPr>
        <w:pStyle w:val="Heading2"/>
      </w:pPr>
      <w:r>
        <w:t>Object Diagram 2</w:t>
      </w:r>
    </w:p>
    <w:p>
      <w:pPr>
        <w:jc w:val="center"/>
      </w:pPr>
      <w:r>
        <w:drawing>
          <wp:inline xmlns:a="http://schemas.openxmlformats.org/drawingml/2006/main" xmlns:pic="http://schemas.openxmlformats.org/drawingml/2006/picture">
            <wp:extent cx="4572000" cy="5223677"/>
            <wp:docPr id="4" name="Picture 4"/>
            <wp:cNvGraphicFramePr>
              <a:graphicFrameLocks noChangeAspect="1"/>
            </wp:cNvGraphicFramePr>
            <a:graphic>
              <a:graphicData uri="http://schemas.openxmlformats.org/drawingml/2006/picture">
                <pic:pic>
                  <pic:nvPicPr>
                    <pic:cNvPr id="0" name="object_diagram_capstone1_.jpg.jpeg"/>
                    <pic:cNvPicPr/>
                  </pic:nvPicPr>
                  <pic:blipFill>
                    <a:blip r:embed="rId13"/>
                    <a:stretch>
                      <a:fillRect/>
                    </a:stretch>
                  </pic:blipFill>
                  <pic:spPr>
                    <a:xfrm>
                      <a:off x="0" y="0"/>
                      <a:ext cx="4572000" cy="5223677"/>
                    </a:xfrm>
                    <a:prstGeom prst="rect"/>
                  </pic:spPr>
                </pic:pic>
              </a:graphicData>
            </a:graphic>
          </wp:inline>
        </w:drawing>
      </w:r>
    </w:p>
    <w:p>
      <w:pPr>
        <w:pStyle w:val="Heading2"/>
      </w:pPr>
      <w:r>
        <w:t>Sequence Diagram</w:t>
      </w:r>
    </w:p>
    <w:p>
      <w:pPr>
        <w:jc w:val="center"/>
      </w:pPr>
      <w:r>
        <w:drawing>
          <wp:inline xmlns:a="http://schemas.openxmlformats.org/drawingml/2006/main" xmlns:pic="http://schemas.openxmlformats.org/drawingml/2006/picture">
            <wp:extent cx="4572000" cy="6730139"/>
            <wp:docPr id="5" name="Picture 5"/>
            <wp:cNvGraphicFramePr>
              <a:graphicFrameLocks noChangeAspect="1"/>
            </wp:cNvGraphicFramePr>
            <a:graphic>
              <a:graphicData uri="http://schemas.openxmlformats.org/drawingml/2006/picture">
                <pic:pic>
                  <pic:nvPicPr>
                    <pic:cNvPr id="0" name="sequence_capstone.jpg.jpeg"/>
                    <pic:cNvPicPr/>
                  </pic:nvPicPr>
                  <pic:blipFill>
                    <a:blip r:embed="rId14"/>
                    <a:stretch>
                      <a:fillRect/>
                    </a:stretch>
                  </pic:blipFill>
                  <pic:spPr>
                    <a:xfrm>
                      <a:off x="0" y="0"/>
                      <a:ext cx="4572000" cy="6730139"/>
                    </a:xfrm>
                    <a:prstGeom prst="rect"/>
                  </pic:spPr>
                </pic:pic>
              </a:graphicData>
            </a:graphic>
          </wp:inline>
        </w:drawing>
      </w:r>
    </w:p>
    <w:p>
      <w:r>
        <w:br w:type="page"/>
      </w:r>
    </w:p>
    <w:p>
      <w:pPr>
        <w:pStyle w:val="Heading1"/>
      </w:pPr>
      <w:r>
        <w:t>7. Data Dictionary / Data Sets</w:t>
      </w:r>
    </w:p>
    <w:p>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pPr>
        <w:pStyle w:val="Heading2"/>
      </w:pPr>
      <w:r>
        <w:t>Data Dictionary</w:t>
      </w:r>
    </w:p>
    <w:p>
      <w:pPr>
        <w:spacing w:line="240" w:lineRule="auto"/>
        <w:jc w:val="both"/>
      </w:pPr>
      <w:r>
        <w:rPr>
          <w:rFonts w:ascii="Liberation Serif" w:hAnsi="Liberation Serif"/>
          <w:b w:val="0"/>
          <w:sz w:val="24"/>
        </w:rPr>
        <w:t>1. NewsArticle: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rFonts w:ascii="Liberation Serif" w:hAnsi="Liberation Serif"/>
                <w:b/>
                <w:sz w:val="22"/>
              </w:rPr>
              <w:t>Field Name</w:t>
            </w:r>
          </w:p>
        </w:tc>
        <w:tc>
          <w:tcPr>
            <w:tcW w:type="dxa" w:w="2880"/>
          </w:tcPr>
          <w:p>
            <w:pPr>
              <w:jc w:val="left"/>
            </w:pPr>
            <w:r>
              <w:rPr>
                <w:rFonts w:ascii="Liberation Serif" w:hAnsi="Liberation Serif"/>
                <w:b/>
                <w:sz w:val="22"/>
              </w:rPr>
              <w:t>Data Type</w:t>
            </w:r>
          </w:p>
        </w:tc>
        <w:tc>
          <w:tcPr>
            <w:tcW w:type="dxa" w:w="2880"/>
          </w:tcPr>
          <w:p>
            <w:pPr>
              <w:jc w:val="left"/>
            </w:pPr>
            <w:r>
              <w:rPr>
                <w:rFonts w:ascii="Liberation Serif" w:hAnsi="Liberation Serif"/>
                <w:b/>
                <w:sz w:val="22"/>
              </w:rPr>
              <w:t>Description</w:t>
            </w:r>
          </w:p>
        </w:tc>
      </w:tr>
      <w:tr>
        <w:tc>
          <w:tcPr>
            <w:tcW w:type="dxa" w:w="2880"/>
          </w:tcPr>
          <w:p>
            <w:pPr>
              <w:jc w:val="left"/>
            </w:pPr>
            <w:r>
              <w:rPr>
                <w:rFonts w:ascii="Liberation Serif" w:hAnsi="Liberation Serif"/>
                <w:b w:val="0"/>
                <w:sz w:val="22"/>
              </w:rPr>
              <w:t>id</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Unique document identifier.</w:t>
            </w:r>
          </w:p>
        </w:tc>
      </w:tr>
      <w:tr>
        <w:tc>
          <w:tcPr>
            <w:tcW w:type="dxa" w:w="2880"/>
          </w:tcPr>
          <w:p>
            <w:pPr>
              <w:jc w:val="left"/>
            </w:pPr>
            <w:r>
              <w:rPr>
                <w:rFonts w:ascii="Liberation Serif" w:hAnsi="Liberation Serif"/>
                <w:b w:val="0"/>
                <w:sz w:val="22"/>
              </w:rPr>
              <w:t>source</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Publication name fetching the news.</w:t>
            </w:r>
          </w:p>
        </w:tc>
      </w:tr>
      <w:tr>
        <w:tc>
          <w:tcPr>
            <w:tcW w:type="dxa" w:w="2880"/>
          </w:tcPr>
          <w:p>
            <w:pPr>
              <w:jc w:val="left"/>
            </w:pPr>
            <w:r>
              <w:rPr>
                <w:rFonts w:ascii="Liberation Serif" w:hAnsi="Liberation Serif"/>
                <w:b w:val="0"/>
                <w:sz w:val="22"/>
              </w:rPr>
              <w:t>sentiment</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Positive / Neutral / Negative.</w:t>
            </w:r>
          </w:p>
        </w:tc>
      </w:tr>
      <w:tr>
        <w:tc>
          <w:tcPr>
            <w:tcW w:type="dxa" w:w="2880"/>
          </w:tcPr>
          <w:p>
            <w:pPr>
              <w:jc w:val="left"/>
            </w:pPr>
            <w:r>
              <w:rPr>
                <w:rFonts w:ascii="Liberation Serif" w:hAnsi="Liberation Serif"/>
                <w:b w:val="0"/>
                <w:sz w:val="22"/>
              </w:rPr>
              <w:t>disruption_type</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Weather, Labor, Logistics, etc.</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2. Prediction / Alert:</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rFonts w:ascii="Liberation Serif" w:hAnsi="Liberation Serif"/>
                <w:b/>
                <w:sz w:val="22"/>
              </w:rPr>
              <w:t>Field Name</w:t>
            </w:r>
          </w:p>
        </w:tc>
        <w:tc>
          <w:tcPr>
            <w:tcW w:type="dxa" w:w="2880"/>
          </w:tcPr>
          <w:p>
            <w:pPr>
              <w:jc w:val="left"/>
            </w:pPr>
            <w:r>
              <w:rPr>
                <w:rFonts w:ascii="Liberation Serif" w:hAnsi="Liberation Serif"/>
                <w:b/>
                <w:sz w:val="22"/>
              </w:rPr>
              <w:t>Data Type</w:t>
            </w:r>
          </w:p>
        </w:tc>
        <w:tc>
          <w:tcPr>
            <w:tcW w:type="dxa" w:w="2880"/>
          </w:tcPr>
          <w:p>
            <w:pPr>
              <w:jc w:val="left"/>
            </w:pPr>
            <w:r>
              <w:rPr>
                <w:rFonts w:ascii="Liberation Serif" w:hAnsi="Liberation Serif"/>
                <w:b/>
                <w:sz w:val="22"/>
              </w:rPr>
              <w:t>Description</w:t>
            </w:r>
          </w:p>
        </w:tc>
      </w:tr>
      <w:tr>
        <w:tc>
          <w:tcPr>
            <w:tcW w:type="dxa" w:w="2880"/>
          </w:tcPr>
          <w:p>
            <w:pPr>
              <w:jc w:val="left"/>
            </w:pPr>
            <w:r>
              <w:rPr>
                <w:rFonts w:ascii="Liberation Serif" w:hAnsi="Liberation Serif"/>
                <w:b w:val="0"/>
                <w:sz w:val="22"/>
              </w:rPr>
              <w:t>id</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Alert identifier.</w:t>
            </w:r>
          </w:p>
        </w:tc>
      </w:tr>
      <w:tr>
        <w:tc>
          <w:tcPr>
            <w:tcW w:type="dxa" w:w="2880"/>
          </w:tcPr>
          <w:p>
            <w:pPr>
              <w:jc w:val="left"/>
            </w:pPr>
            <w:r>
              <w:rPr>
                <w:rFonts w:ascii="Liberation Serif" w:hAnsi="Liberation Serif"/>
                <w:b w:val="0"/>
                <w:sz w:val="22"/>
              </w:rPr>
              <w:t>risk_level</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Risk severity ranging from Low to High.</w:t>
            </w:r>
          </w:p>
        </w:tc>
      </w:tr>
      <w:tr>
        <w:tc>
          <w:tcPr>
            <w:tcW w:type="dxa" w:w="2880"/>
          </w:tcPr>
          <w:p>
            <w:pPr>
              <w:jc w:val="left"/>
            </w:pPr>
            <w:r>
              <w:rPr>
                <w:rFonts w:ascii="Liberation Serif" w:hAnsi="Liberation Serif"/>
                <w:b w:val="0"/>
                <w:sz w:val="22"/>
              </w:rPr>
              <w:t>disruption_type</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Categorization of disruption anomaly.</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3. RegionRisk:</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rFonts w:ascii="Liberation Serif" w:hAnsi="Liberation Serif"/>
                <w:b/>
                <w:sz w:val="22"/>
              </w:rPr>
              <w:t>Field Name</w:t>
            </w:r>
          </w:p>
        </w:tc>
        <w:tc>
          <w:tcPr>
            <w:tcW w:type="dxa" w:w="2880"/>
          </w:tcPr>
          <w:p>
            <w:pPr>
              <w:jc w:val="left"/>
            </w:pPr>
            <w:r>
              <w:rPr>
                <w:rFonts w:ascii="Liberation Serif" w:hAnsi="Liberation Serif"/>
                <w:b/>
                <w:sz w:val="22"/>
              </w:rPr>
              <w:t>Data Type</w:t>
            </w:r>
          </w:p>
        </w:tc>
        <w:tc>
          <w:tcPr>
            <w:tcW w:type="dxa" w:w="2880"/>
          </w:tcPr>
          <w:p>
            <w:pPr>
              <w:jc w:val="left"/>
            </w:pPr>
            <w:r>
              <w:rPr>
                <w:rFonts w:ascii="Liberation Serif" w:hAnsi="Liberation Serif"/>
                <w:b/>
                <w:sz w:val="22"/>
              </w:rPr>
              <w:t>Description</w:t>
            </w:r>
          </w:p>
        </w:tc>
      </w:tr>
      <w:tr>
        <w:tc>
          <w:tcPr>
            <w:tcW w:type="dxa" w:w="2880"/>
          </w:tcPr>
          <w:p>
            <w:pPr>
              <w:jc w:val="left"/>
            </w:pPr>
            <w:r>
              <w:rPr>
                <w:rFonts w:ascii="Liberation Serif" w:hAnsi="Liberation Serif"/>
                <w:b w:val="0"/>
                <w:sz w:val="22"/>
              </w:rPr>
              <w:t>region_name</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Target geographical location.</w:t>
            </w:r>
          </w:p>
        </w:tc>
      </w:tr>
      <w:tr>
        <w:tc>
          <w:tcPr>
            <w:tcW w:type="dxa" w:w="2880"/>
          </w:tcPr>
          <w:p>
            <w:pPr>
              <w:jc w:val="left"/>
            </w:pPr>
            <w:r>
              <w:rPr>
                <w:rFonts w:ascii="Liberation Serif" w:hAnsi="Liberation Serif"/>
                <w:b w:val="0"/>
                <w:sz w:val="22"/>
              </w:rPr>
              <w:t>risk_level</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Computed AI risk severity (Low, Medium, High).</w:t>
            </w:r>
          </w:p>
        </w:tc>
      </w:tr>
      <w:tr>
        <w:tc>
          <w:tcPr>
            <w:tcW w:type="dxa" w:w="2880"/>
          </w:tcPr>
          <w:p>
            <w:pPr>
              <w:jc w:val="left"/>
            </w:pPr>
            <w:r>
              <w:rPr>
                <w:rFonts w:ascii="Liberation Serif" w:hAnsi="Liberation Serif"/>
                <w:b w:val="0"/>
                <w:sz w:val="22"/>
              </w:rPr>
              <w:t>alerts</w:t>
            </w:r>
          </w:p>
        </w:tc>
        <w:tc>
          <w:tcPr>
            <w:tcW w:type="dxa" w:w="2880"/>
          </w:tcPr>
          <w:p>
            <w:pPr>
              <w:jc w:val="left"/>
            </w:pPr>
            <w:r>
              <w:rPr>
                <w:rFonts w:ascii="Liberation Serif" w:hAnsi="Liberation Serif"/>
                <w:b w:val="0"/>
                <w:sz w:val="22"/>
              </w:rPr>
              <w:t>List</w:t>
            </w:r>
          </w:p>
        </w:tc>
        <w:tc>
          <w:tcPr>
            <w:tcW w:type="dxa" w:w="2880"/>
          </w:tcPr>
          <w:p>
            <w:pPr>
              <w:jc w:val="left"/>
            </w:pPr>
            <w:r>
              <w:rPr>
                <w:rFonts w:ascii="Liberation Serif" w:hAnsi="Liberation Serif"/>
                <w:b w:val="0"/>
                <w:sz w:val="22"/>
              </w:rPr>
              <w:t>Embedded collection of current regional warnings.</w:t>
            </w:r>
          </w:p>
        </w:tc>
      </w:tr>
    </w:tbl>
    <w:p>
      <w:r>
        <w:br w:type="page"/>
      </w:r>
    </w:p>
    <w:p>
      <w:pPr>
        <w:pStyle w:val="Heading1"/>
      </w:pPr>
      <w:r>
        <w:t>8. Screen Layouts</w:t>
      </w:r>
    </w:p>
    <w:p>
      <w:pPr>
        <w:spacing w:line="240" w:lineRule="auto"/>
        <w:jc w:val="both"/>
      </w:pPr>
      <w:r>
        <w:rPr>
          <w:rFonts w:ascii="Liberation Serif" w:hAnsi="Liberation Serif"/>
          <w:b w:val="0"/>
          <w:sz w:val="24"/>
        </w:rPr>
        <w:t>The software application delivers an intuitive user interface for maximum situational awareness:</w:t>
      </w:r>
    </w:p>
    <w:p>
      <w:pPr>
        <w:pStyle w:val="Heading2"/>
      </w:pPr>
      <w:r>
        <w:t>Dashboard Layout</w:t>
      </w:r>
    </w:p>
    <w:p>
      <w:pPr>
        <w:spacing w:line="240" w:lineRule="auto"/>
        <w:jc w:val="both"/>
      </w:pPr>
      <w:r>
        <w:rPr>
          <w:rFonts w:ascii="Liberation Serif" w:hAnsi="Liberation Serif"/>
          <w:b w:val="0"/>
          <w:sz w:val="24"/>
        </w:rPr>
        <w:t>Top Panel: Executive Summary KPIs (Active Alerts, Regions Monitored, Critical Disruptions).</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dashboard.png"/>
                    <pic:cNvPicPr/>
                  </pic:nvPicPr>
                  <pic:blipFill>
                    <a:blip r:embed="rId15"/>
                    <a:stretch>
                      <a:fillRect/>
                    </a:stretch>
                  </pic:blipFill>
                  <pic:spPr>
                    <a:xfrm>
                      <a:off x="0" y="0"/>
                      <a:ext cx="5029200" cy="3143250"/>
                    </a:xfrm>
                    <a:prstGeom prst="rect"/>
                  </pic:spPr>
                </pic:pic>
              </a:graphicData>
            </a:graphic>
          </wp:inline>
        </w:drawing>
      </w:r>
    </w:p>
    <w:p>
      <w:pPr>
        <w:pStyle w:val="Heading2"/>
      </w:pPr>
      <w:r>
        <w:t>Mobile Responsive View</w:t>
      </w:r>
    </w:p>
    <w:p>
      <w:pPr>
        <w:spacing w:line="240" w:lineRule="auto"/>
        <w:jc w:val="both"/>
      </w:pPr>
      <w:r>
        <w:rPr>
          <w:rFonts w:ascii="Liberation Serif" w:hAnsi="Liberation Serif"/>
          <w:b w:val="0"/>
          <w:sz w:val="24"/>
        </w:rPr>
        <w:t>Stack-based representation prioritizing KPI alerts on top.</w:t>
      </w:r>
    </w:p>
    <w:p>
      <w:pPr>
        <w:jc w:val="center"/>
      </w:pPr>
      <w:r>
        <w:drawing>
          <wp:inline xmlns:a="http://schemas.openxmlformats.org/drawingml/2006/main" xmlns:pic="http://schemas.openxmlformats.org/drawingml/2006/picture">
            <wp:extent cx="2743200" cy="4879238"/>
            <wp:docPr id="7" name="Picture 7"/>
            <wp:cNvGraphicFramePr>
              <a:graphicFrameLocks noChangeAspect="1"/>
            </wp:cNvGraphicFramePr>
            <a:graphic>
              <a:graphicData uri="http://schemas.openxmlformats.org/drawingml/2006/picture">
                <pic:pic>
                  <pic:nvPicPr>
                    <pic:cNvPr id="0" name="dashboard_mobile.png"/>
                    <pic:cNvPicPr/>
                  </pic:nvPicPr>
                  <pic:blipFill>
                    <a:blip r:embed="rId16"/>
                    <a:stretch>
                      <a:fillRect/>
                    </a:stretch>
                  </pic:blipFill>
                  <pic:spPr>
                    <a:xfrm>
                      <a:off x="0" y="0"/>
                      <a:ext cx="2743200" cy="4879238"/>
                    </a:xfrm>
                    <a:prstGeom prst="rect"/>
                  </pic:spPr>
                </pic:pic>
              </a:graphicData>
            </a:graphic>
          </wp:inline>
        </w:drawing>
      </w:r>
    </w:p>
    <w:p>
      <w:pPr>
        <w:pStyle w:val="Heading2"/>
      </w:pPr>
      <w:r>
        <w:t>Predictions View</w:t>
      </w:r>
    </w:p>
    <w:p>
      <w:pPr>
        <w:spacing w:line="240" w:lineRule="auto"/>
        <w:jc w:val="both"/>
      </w:pPr>
      <w:r>
        <w:rPr>
          <w:rFonts w:ascii="Liberation Serif" w:hAnsi="Liberation Serif"/>
          <w:b w:val="0"/>
          <w:sz w:val="24"/>
        </w:rPr>
        <w:t>Interactive forecasting based on What-If Scenario and AI simulations.</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predictions.png"/>
                    <pic:cNvPicPr/>
                  </pic:nvPicPr>
                  <pic:blipFill>
                    <a:blip r:embed="rId17"/>
                    <a:stretch>
                      <a:fillRect/>
                    </a:stretch>
                  </pic:blipFill>
                  <pic:spPr>
                    <a:xfrm>
                      <a:off x="0" y="0"/>
                      <a:ext cx="5029200" cy="3143250"/>
                    </a:xfrm>
                    <a:prstGeom prst="rect"/>
                  </pic:spPr>
                </pic:pic>
              </a:graphicData>
            </a:graphic>
          </wp:inline>
        </w:drawing>
      </w:r>
    </w:p>
    <w:p>
      <w:pPr>
        <w:pStyle w:val="Heading2"/>
      </w:pPr>
      <w:r>
        <w:t>Alerts View</w:t>
      </w:r>
    </w:p>
    <w:p>
      <w:pPr>
        <w:spacing w:line="240" w:lineRule="auto"/>
        <w:jc w:val="both"/>
      </w:pPr>
      <w:r>
        <w:rPr>
          <w:rFonts w:ascii="Liberation Serif" w:hAnsi="Liberation Serif"/>
          <w:b w:val="0"/>
          <w:sz w:val="24"/>
        </w:rPr>
        <w:t>Comprehensive list of system-generated priority alerts.</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alerts.png"/>
                    <pic:cNvPicPr/>
                  </pic:nvPicPr>
                  <pic:blipFill>
                    <a:blip r:embed="rId18"/>
                    <a:stretch>
                      <a:fillRect/>
                    </a:stretch>
                  </pic:blipFill>
                  <pic:spPr>
                    <a:xfrm>
                      <a:off x="0" y="0"/>
                      <a:ext cx="5029200" cy="3143250"/>
                    </a:xfrm>
                    <a:prstGeom prst="rect"/>
                  </pic:spPr>
                </pic:pic>
              </a:graphicData>
            </a:graphic>
          </wp:inline>
        </w:drawing>
      </w:r>
    </w:p>
    <w:p>
      <w:pPr>
        <w:pStyle w:val="Heading2"/>
      </w:pPr>
      <w:r>
        <w:t>Suppliers View</w:t>
      </w:r>
    </w:p>
    <w:p>
      <w:pPr>
        <w:spacing w:line="240" w:lineRule="auto"/>
        <w:jc w:val="both"/>
      </w:pPr>
      <w:r>
        <w:rPr>
          <w:rFonts w:ascii="Liberation Serif" w:hAnsi="Liberation Serif"/>
          <w:b w:val="0"/>
          <w:sz w:val="24"/>
        </w:rPr>
        <w:t>Detailed overview of active suppliers and respective risk assessments.</w:t>
      </w:r>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suppliers.png"/>
                    <pic:cNvPicPr/>
                  </pic:nvPicPr>
                  <pic:blipFill>
                    <a:blip r:embed="rId19"/>
                    <a:stretch>
                      <a:fillRect/>
                    </a:stretch>
                  </pic:blipFill>
                  <pic:spPr>
                    <a:xfrm>
                      <a:off x="0" y="0"/>
                      <a:ext cx="5029200" cy="3143250"/>
                    </a:xfrm>
                    <a:prstGeom prst="rect"/>
                  </pic:spPr>
                </pic:pic>
              </a:graphicData>
            </a:graphic>
          </wp:inline>
        </w:drawing>
      </w:r>
    </w:p>
    <w:p>
      <w:pPr>
        <w:pStyle w:val="Heading2"/>
      </w:pPr>
      <w:r>
        <w:t>Ports View</w:t>
      </w:r>
    </w:p>
    <w:p>
      <w:pPr>
        <w:spacing w:line="240" w:lineRule="auto"/>
        <w:jc w:val="both"/>
      </w:pPr>
      <w:r>
        <w:rPr>
          <w:rFonts w:ascii="Liberation Serif" w:hAnsi="Liberation Serif"/>
          <w:b w:val="0"/>
          <w:sz w:val="24"/>
        </w:rPr>
        <w:t>Geospatial mapping and analytical deep dive into global port throughput.</w:t>
      </w:r>
    </w:p>
    <w:p>
      <w:pPr>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ports.png"/>
                    <pic:cNvPicPr/>
                  </pic:nvPicPr>
                  <pic:blipFill>
                    <a:blip r:embed="rId20"/>
                    <a:stretch>
                      <a:fillRect/>
                    </a:stretch>
                  </pic:blipFill>
                  <pic:spPr>
                    <a:xfrm>
                      <a:off x="0" y="0"/>
                      <a:ext cx="5029200" cy="3143250"/>
                    </a:xfrm>
                    <a:prstGeom prst="rect"/>
                  </pic:spPr>
                </pic:pic>
              </a:graphicData>
            </a:graphic>
          </wp:inline>
        </w:drawing>
      </w:r>
    </w:p>
    <w:p>
      <w:pPr>
        <w:pStyle w:val="Heading2"/>
      </w:pPr>
      <w:r>
        <w:t>Analytics View</w:t>
      </w:r>
    </w:p>
    <w:p>
      <w:pPr>
        <w:spacing w:line="240" w:lineRule="auto"/>
        <w:jc w:val="both"/>
      </w:pPr>
      <w:r>
        <w:rPr>
          <w:rFonts w:ascii="Liberation Serif" w:hAnsi="Liberation Serif"/>
          <w:b w:val="0"/>
          <w:sz w:val="24"/>
        </w:rPr>
        <w:t>Advanced macroscopic indicators and temporal disruption trending analysis.</w:t>
      </w:r>
    </w:p>
    <w:p>
      <w:pPr>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analytics.png"/>
                    <pic:cNvPicPr/>
                  </pic:nvPicPr>
                  <pic:blipFill>
                    <a:blip r:embed="rId21"/>
                    <a:stretch>
                      <a:fillRect/>
                    </a:stretch>
                  </pic:blipFill>
                  <pic:spPr>
                    <a:xfrm>
                      <a:off x="0" y="0"/>
                      <a:ext cx="5029200" cy="3143250"/>
                    </a:xfrm>
                    <a:prstGeom prst="rect"/>
                  </pic:spPr>
                </pic:pic>
              </a:graphicData>
            </a:graphic>
          </wp:inline>
        </w:drawing>
      </w:r>
    </w:p>
    <w:p>
      <w:pPr>
        <w:pStyle w:val="Heading2"/>
      </w:pPr>
      <w:r>
        <w:t>Settings View</w:t>
      </w:r>
    </w:p>
    <w:p>
      <w:pPr>
        <w:spacing w:line="240" w:lineRule="auto"/>
        <w:jc w:val="both"/>
      </w:pPr>
      <w:r>
        <w:rPr>
          <w:rFonts w:ascii="Liberation Serif" w:hAnsi="Liberation Serif"/>
          <w:b w:val="0"/>
          <w:sz w:val="24"/>
        </w:rPr>
        <w:t>Customizable platform configurations and API integrations.</w:t>
      </w:r>
    </w:p>
    <w:p>
      <w:pPr>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settings.png"/>
                    <pic:cNvPicPr/>
                  </pic:nvPicPr>
                  <pic:blipFill>
                    <a:blip r:embed="rId22"/>
                    <a:stretch>
                      <a:fillRect/>
                    </a:stretch>
                  </pic:blipFill>
                  <pic:spPr>
                    <a:xfrm>
                      <a:off x="0" y="0"/>
                      <a:ext cx="5029200" cy="3143250"/>
                    </a:xfrm>
                    <a:prstGeom prst="rect"/>
                  </pic:spPr>
                </pic:pic>
              </a:graphicData>
            </a:graphic>
          </wp:inline>
        </w:drawing>
      </w:r>
    </w:p>
    <w:p>
      <w:r>
        <w:br w:type="page"/>
      </w:r>
    </w:p>
    <w:p>
      <w:pPr>
        <w:pStyle w:val="Heading1"/>
      </w:pPr>
      <w:r>
        <w:t>9. Report Layouts</w:t>
      </w:r>
    </w:p>
    <w:p>
      <w:pPr>
        <w:spacing w:line="240" w:lineRule="auto"/>
        <w:jc w:val="both"/>
      </w:pPr>
      <w:r>
        <w:rPr>
          <w:rFonts w:ascii="Liberation Serif" w:hAnsi="Liberation Serif"/>
          <w:b w:val="0"/>
          <w:sz w:val="24"/>
        </w:rPr>
        <w:t>The reporting module provides automated periodic overviews of historical delays and systemic risks.</w:t>
      </w:r>
    </w:p>
    <w:p>
      <w:pPr>
        <w:pStyle w:val="Heading2"/>
      </w:pPr>
      <w:r>
        <w:t>Weekly Threat Assessment Report</w:t>
      </w:r>
    </w:p>
    <w:p>
      <w:pPr>
        <w:spacing w:line="240" w:lineRule="auto"/>
        <w:jc w:val="both"/>
      </w:pPr>
      <w:r>
        <w:rPr>
          <w:rFonts w:ascii="Liberation Serif" w:hAnsi="Liberation Serif"/>
          <w:b w:val="0"/>
          <w:sz w:val="24"/>
        </w:rPr>
        <w:t>- Title Header: Time period and target domain.</w:t>
        <w:br/>
        <w:t>- Section A: Statistical abstract of top forecasted hazards.</w:t>
        <w:br/>
        <w:t>- Section B: Tabular data representation listing specific suppliers or regions experiencing turbulence.</w:t>
        <w:br/>
        <w:t>- Section C: Evaluative graph charting 30-day trailing disruption probability indices vs. predicted actuals.</w:t>
      </w:r>
    </w:p>
    <w:p>
      <w:r>
        <w:br w:type="page"/>
      </w:r>
    </w:p>
    <w:p>
      <w:pPr>
        <w:pStyle w:val="Heading1"/>
      </w:pPr>
      <w:r>
        <w:t>10. Sample Coding</w:t>
      </w:r>
    </w:p>
    <w:p>
      <w:pPr>
        <w:spacing w:line="240" w:lineRule="auto"/>
        <w:jc w:val="both"/>
      </w:pPr>
      <w:r>
        <w:rPr>
          <w:rFonts w:ascii="Liberation Serif" w:hAnsi="Liberation Serif"/>
          <w:b w:val="0"/>
          <w:sz w:val="24"/>
        </w:rPr>
        <w:t>Below is a sample FastAPI core endpoint highlighting key implementations for fetching dashboard summaries:</w:t>
      </w:r>
    </w:p>
    <w:p>
      <w:pPr>
        <w:spacing w:line="240" w:lineRule="auto"/>
        <w:jc w:val="both"/>
      </w:pPr>
      <w:r>
        <w:rPr>
          <w:rFonts w:ascii="Liberation Serif" w:hAnsi="Liberation Serif"/>
          <w:b w:val="0"/>
          <w:sz w:val="24"/>
        </w:rPr>
        <w:t>from fastapi import APIRouter</w:t>
        <w:br/>
        <w:t>from app.models import DashboardSummary</w:t>
        <w:br/>
        <w:br/>
        <w:t>router = APIRouter()</w:t>
        <w:br/>
        <w:br/>
        <w:t>@router.get("/api/dashboard/summary", response_model=DashboardSummary)</w:t>
        <w:br/>
        <w:t>async def get_dashboard_summary():</w:t>
        <w:br/>
        <w:t xml:space="preserve">    return {</w:t>
        <w:br/>
        <w:t xml:space="preserve">        "active_alerts": 12,</w:t>
        <w:br/>
        <w:t xml:space="preserve">        "high_risk_regions": 2,</w:t>
        <w:br/>
        <w:t xml:space="preserve">        "overall_status": "Moderate Risk"</w:t>
        <w:br/>
        <w:t xml:space="preserve">    }</w:t>
      </w:r>
    </w:p>
    <w:p>
      <w:r>
        <w:br w:type="page"/>
      </w:r>
    </w:p>
    <w:p>
      <w:pPr>
        <w:pStyle w:val="Heading1"/>
      </w:pPr>
      <w:r>
        <w:t>11. Future Enhancements</w:t>
      </w:r>
    </w:p>
    <w:p>
      <w:pPr>
        <w:spacing w:line="240" w:lineRule="auto"/>
        <w:jc w:val="both"/>
      </w:pPr>
      <w:r>
        <w:rPr>
          <w:rFonts w:ascii="Liberation Serif" w:hAnsi="Liberation Serif"/>
          <w:b w:val="0"/>
          <w:sz w:val="24"/>
        </w:rPr>
        <w:t>1. API Integration with modern ERP platforms (SAP, Oracle) for direct tracking against active purchase orders.</w:t>
      </w:r>
    </w:p>
    <w:p>
      <w:pPr>
        <w:spacing w:line="240" w:lineRule="auto"/>
        <w:jc w:val="both"/>
      </w:pPr>
      <w:r>
        <w:rPr>
          <w:rFonts w:ascii="Liberation Serif" w:hAnsi="Liberation Serif"/>
          <w:b w:val="0"/>
          <w:sz w:val="24"/>
        </w:rPr>
        <w:t>2. Advanced Language Models to dynamically extract hidden relationship networks influencing logistics pathways.</w:t>
      </w:r>
    </w:p>
    <w:p>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r>
        <w:br w:type="page"/>
      </w:r>
    </w:p>
    <w:p>
      <w:pPr>
        <w:pStyle w:val="Heading1"/>
      </w:pPr>
      <w:r>
        <w:t>12. Conclusion</w:t>
      </w:r>
    </w:p>
    <w:p>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r>
        <w:br w:type="page"/>
      </w:r>
    </w:p>
    <w:p>
      <w:pPr>
        <w:pStyle w:val="Heading1"/>
      </w:pPr>
      <w:r>
        <w:t>13. Bibliography</w:t>
      </w:r>
    </w:p>
    <w:p>
      <w:pPr>
        <w:spacing w:line="240" w:lineRule="auto"/>
        <w:jc w:val="both"/>
      </w:pPr>
      <w:r>
        <w:rPr>
          <w:rFonts w:ascii="Liberation Serif" w:hAnsi="Liberation Serif"/>
          <w:b w:val="0"/>
          <w:sz w:val="24"/>
        </w:rPr>
        <w:t>[1] React Documentation. Available at: https://reactjs.org/</w:t>
        <w:br/>
        <w:t>[2] FastAPI Documentation. Available at: https://fastapi.tiangolo.com/</w:t>
        <w:br/>
        <w:t>[3] Meta Prophet - Open Source Forecasting. Available at: https://facebook.github.io/prophet/</w:t>
        <w:br/>
        <w:t>[4] MongoDB Python Driver API Notes. Available at: https://pymongo.readthedocs.io/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b w:val="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