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mid ship</w:t>
      </w:r>
    </w:p>
    <w:p>
      <w:pPr>
        <w:pStyle w:val="Heading1"/>
      </w:pPr>
      <w:r>
        <w:t>NB518: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2160"/>
          </w:tcPr>
          <w:p>
            <w:r>
              <w:t>Question</w:t>
            </w:r>
          </w:p>
        </w:tc>
        <w:tc>
          <w:tcPr>
            <w:tcW w:type="dxa" w:w="7200"/>
          </w:tcPr>
          <w:p>
            <w:r>
              <w:t>Answers</w:t>
            </w:r>
          </w:p>
        </w:tc>
      </w:tr>
      <w:tr>
        <w:tc>
          <w:tcPr>
            <w:tcW w:type="dxa" w:w="2160"/>
          </w:tcPr>
          <w:p>
            <w:r>
              <w:t>Rules requirements : Easy/hard? Everything fulfilled? Issues with class worth mentioning?</w:t>
            </w:r>
          </w:p>
        </w:tc>
        <w:tc>
          <w:tcPr>
            <w:tcW w:type="dxa" w:w="7200"/>
          </w:tcPr>
          <w:p/>
          <w:p>
            <w:pPr>
              <w:pStyle w:val="ListBullet"/>
            </w:pPr>
            <w:r>
              <w:t>Design: LR paikallistarkastajan kanssa hyvä yhteistyö. Plan approval tuki myös hyvin projektin alkuvaiheessa. Joidenkin analyysitulosten ja -raporttien suhteen kommentit plan approval toimesta olivat ristiriitaisia; tutkimus vs. tuotantoprojekti.</w:t>
            </w:r>
          </w:p>
        </w:tc>
      </w:tr>
      <w:tr>
        <w:tc>
          <w:tcPr>
            <w:tcW w:type="dxa" w:w="2160"/>
          </w:tcPr>
          <w:p>
            <w:r>
              <w:t>Material (purchase, logistics, budget) : Your experience and feedback?</w:t>
            </w:r>
          </w:p>
        </w:tc>
        <w:tc>
          <w:tcPr>
            <w:tcW w:type="dxa" w:w="7200"/>
          </w:tcPr>
          <w:p/>
          <w:p>
            <w:pPr>
              <w:pStyle w:val="ListBullet"/>
            </w:pPr>
            <w:r>
              <w:t>Design: Rungossa tarvittiin tietoa hankittavista laitteista (kuormitukset runkoon). Myöhäiset hankinnat aiheuttivat suunnittelussa haasteita.</w:t>
            </w:r>
          </w:p>
        </w:tc>
      </w:tr>
      <w:tr>
        <w:tc>
          <w:tcPr>
            <w:tcW w:type="dxa" w:w="2160"/>
          </w:tcPr>
          <w:p>
            <w:r>
              <w:t>Drawings (schedule, comments received, changes..) : Lessons learned?</w:t>
            </w:r>
          </w:p>
        </w:tc>
        <w:tc>
          <w:tcPr>
            <w:tcW w:type="dxa" w:w="7200"/>
          </w:tcPr>
          <w:p/>
          <w:p>
            <w:pPr>
              <w:pStyle w:val="ListBullet"/>
            </w:pPr>
            <w:r>
              <w:t>Design: Runko-osaston sisäinen ymmärrys aikataulusta (DL).</w:t>
              <w:br/>
              <w:t>Resurssointi.</w:t>
              <w:br/>
              <w:t>518 suunnittelussa käytettiin uutta ohjelmistoa, jota ei osattu käyttää tehokkaasti. Uusi ohjelmisto (toimintamalli) otettiin käyttöön lennosta. Toimintamallin on oltava kunnossa jo ennen kuin projekti lähtee liikkeelle.</w:t>
              <w:br/>
              <w:t>Suunnitteluun on varattava riittävästi kalenteriaikaa.</w:t>
            </w:r>
          </w:p>
        </w:tc>
      </w:tr>
      <w:tr>
        <w:tc>
          <w:tcPr>
            <w:tcW w:type="dxa" w:w="2160"/>
          </w:tcPr>
          <w:p>
            <w:r>
              <w:t>Communication (internal and external), Co-operation with different parties (In own team, other design teams, subcontractors, production, suppliers, TK.. )</w:t>
            </w:r>
          </w:p>
        </w:tc>
        <w:tc>
          <w:tcPr>
            <w:tcW w:type="dxa" w:w="7200"/>
          </w:tcPr>
          <w:p/>
          <w:p>
            <w:pPr>
              <w:pStyle w:val="ListBullet"/>
            </w:pPr>
            <w:r>
              <w:t>Design: Sisäinen kommunikointi toimi.</w:t>
              <w:br/>
            </w:r>
          </w:p>
        </w:tc>
      </w:tr>
      <w:tr>
        <w:tc>
          <w:tcPr>
            <w:tcW w:type="dxa" w:w="2160"/>
          </w:tcPr>
          <w:p>
            <w:r>
              <w:t xml:space="preserve">Comparison to NB516-517 - did we learn? </w:t>
            </w:r>
          </w:p>
        </w:tc>
        <w:tc>
          <w:tcPr>
            <w:tcW w:type="dxa" w:w="7200"/>
          </w:tcPr>
          <w:p/>
          <w:p>
            <w:pPr>
              <w:pStyle w:val="ListBullet"/>
            </w:pPr>
            <w:r>
              <w:t>Design: Suunnitteluun budjetoitu tuntimäärä pysyi samana 516 &amp; 518. Kaikissa projekteissa tunnit ylittyivät reilusti. Opittiinko?</w:t>
            </w:r>
          </w:p>
        </w:tc>
      </w:tr>
      <w:tr>
        <w:tc>
          <w:tcPr>
            <w:tcW w:type="dxa" w:w="2160"/>
          </w:tcPr>
          <w:p>
            <w:r>
              <w:t>Muut kommentit? / other comments?</w:t>
            </w:r>
          </w:p>
        </w:tc>
        <w:tc>
          <w:tcPr>
            <w:tcW w:type="dxa" w:w="7200"/>
          </w:tcPr>
          <w:p/>
          <w:p>
            <w:pPr>
              <w:pStyle w:val="ListBullet"/>
            </w:pPr>
            <w:r>
              <w:t>Design: Osaavan oman henkilöstön määrän kasvattaminen.</w:t>
              <w:br/>
              <w:br/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