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4150 Toilet Units</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4000 Interrior</w:t>
            </w:r>
          </w:p>
        </w:tc>
        <w:tc>
          <w:tcPr>
            <w:tcW w:type="dxa" w:w="7200"/>
          </w:tcPr>
          <w:p/>
          <w:p>
            <w:pPr>
              <w:pStyle w:val="ListBullet"/>
            </w:pPr>
            <w:r>
              <w:t>Design: 4140 Cabin lay-out;4150 Toilet Units;</w:t>
            </w:r>
          </w:p>
        </w:tc>
      </w:tr>
      <w:tr>
        <w:tc>
          <w:tcPr>
            <w:tcW w:type="dxa" w:w="2160"/>
          </w:tcPr>
          <w:p>
            <w:r>
              <w:t>Are you satisfied with the technical output and choises of the system?</w:t>
              <w:br/>
            </w:r>
          </w:p>
        </w:tc>
        <w:tc>
          <w:tcPr>
            <w:tcW w:type="dxa" w:w="7200"/>
          </w:tcPr>
          <w:p/>
          <w:p>
            <w:pPr>
              <w:pStyle w:val="ListBullet"/>
            </w:pPr>
            <w:r>
              <w:t>Design: KT-teki Vassin, niin meni hyvin. 518 PES-arrangementit tehtiin todella kiireellä muiden työtehtävien lomassa. PES-kuville ei ollut paljon varattua aikaa päivityksiin yms. seuraamiseen.</w:t>
            </w:r>
          </w:p>
        </w:tc>
      </w:tr>
      <w:tr>
        <w:tc>
          <w:tcPr>
            <w:tcW w:type="dxa" w:w="2160"/>
          </w:tcPr>
          <w:p>
            <w:r>
              <w:t>Rules requirements : Easy/hard? Everything fulfilled? Issues with class worth mentioning?</w:t>
            </w:r>
          </w:p>
        </w:tc>
        <w:tc>
          <w:tcPr>
            <w:tcW w:type="dxa" w:w="7200"/>
          </w:tcPr>
          <w:p/>
          <w:p>
            <w:pPr>
              <w:pStyle w:val="ListBullet"/>
            </w:pPr>
            <w:r>
              <w:t xml:space="preserve">Design: USPH ja USCG yllätti säännöillään, ei ollut telakalla aiemmista projekteista tuttu (laivaa 516 aiemmista). </w:t>
            </w:r>
          </w:p>
        </w:tc>
      </w:tr>
      <w:tr>
        <w:tc>
          <w:tcPr>
            <w:tcW w:type="dxa" w:w="2160"/>
          </w:tcPr>
          <w:p>
            <w:r>
              <w:t>Material (purchase, logistics, budget) : Your experience and feedback?</w:t>
            </w:r>
          </w:p>
        </w:tc>
        <w:tc>
          <w:tcPr>
            <w:tcW w:type="dxa" w:w="7200"/>
          </w:tcPr>
          <w:p/>
          <w:p>
            <w:pPr>
              <w:pStyle w:val="ListBullet"/>
            </w:pPr>
            <w:r>
              <w:t>Design: KT:n kautta hankinnat, joten ei ollut 420-osastolla sinänsä. Budjetti toki telakalta. KT:n +/- listat yllätti välillä ja osa vaikeasti ennakoitavissa.</w:t>
            </w:r>
          </w:p>
        </w:tc>
      </w:tr>
      <w:tr>
        <w:tc>
          <w:tcPr>
            <w:tcW w:type="dxa" w:w="2160"/>
          </w:tcPr>
          <w:p>
            <w:r>
              <w:t>Drawings (schedule, comments received, changes..) : Lessons learned?</w:t>
            </w:r>
          </w:p>
        </w:tc>
        <w:tc>
          <w:tcPr>
            <w:tcW w:type="dxa" w:w="7200"/>
          </w:tcPr>
          <w:p/>
          <w:p>
            <w:pPr>
              <w:pStyle w:val="ListBullet"/>
            </w:pPr>
            <w:r>
              <w:t>Design: PES-kuvat tuntuivat jääneen vähän unholaan. Niiden ylläpitämiseen ei ollut aikaa, ja toisaalta tuntui, että ne eivät olleen enää 3. laivassa ns. niin tärkeässä roolissa (vaikka ehkä olisi pitänyt?)</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Design: Henkilöt tuttuja ja toimintatavat muodostuneet jo 516-517 laivoissa, niin kommunikointi oli sinänsä selkeää (vrt. 516 alussa puuttui henkilöitä pyödän toiselta puolelta jne.) Oman osaston henkilöstöä vaihtui paljon 518-laivan puolessa välissä, mikä aiheutta haasteita kommunikaatiossa ja toimintatavoissa, ja sitä kautta asioiden edistymisessä. </w:t>
            </w:r>
          </w:p>
        </w:tc>
      </w:tr>
      <w:tr>
        <w:tc>
          <w:tcPr>
            <w:tcW w:type="dxa" w:w="2160"/>
          </w:tcPr>
          <w:p>
            <w:r>
              <w:t xml:space="preserve">Comparison to NB516-517 - did we learn? </w:t>
            </w:r>
          </w:p>
        </w:tc>
        <w:tc>
          <w:tcPr>
            <w:tcW w:type="dxa" w:w="7200"/>
          </w:tcPr>
          <w:p/>
          <w:p>
            <w:pPr>
              <w:pStyle w:val="ListBullet"/>
            </w:pPr>
            <w:r>
              <w:t>Design: Laiva 518 meni edellisten sisaralusten vanavedessä kaiken kaikkiaan. Moni asia jo ratkottu edellisissä, vaikka toki uutta ihmeteltävää oli aina. Esim. pakoteasiat jne. Toimittajat ei suostuneet yhteistyöhön tai oli toimitustaukoja ja toimitushaasteita, jotka hidasti ja vaikeutti projektia.</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