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5740 Water Mist Fire Extinguishing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Generally yes. </w:t>
              <w:br/>
              <w:t xml:space="preserve">- For ease of commissioning, a set of test valves (isolating and test valves) should be added for the machinery section valves. </w:t>
              <w:br/>
              <w:t xml:space="preserve">- At the location of system main valves, floor drainage should be considered in future projects. </w:t>
              <w:br/>
              <w:t>- Also treatment of the water storage tanks should be considered in future projects by adding a treatment pump circulating water from the tanks.</w:t>
              <w:br/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 issues in this project.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System final costs are above budget due to an erratic material consumption in all 3 vessels. The budget is mainly exceeded due to the need of creating a material buffer. Eventually, the material usage has been more realistic in NB518 versus 516/517.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changes came in relatively late stage from the ceiling design in public spaces (Savi).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Communication with Savi public team has been difficult. Comments sent on their detail design seemed ineffective. </w:t>
              <w:br/>
              <w:t>Material handling has been a lot better in this project than in 516/517. I used some time reviewing the part list of each area and sent comments to persons in charge of detail design. The similarities with 516/517 helped also.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efforts have been paid to make the system ready on time for commissioning (main line readiness, machinery spaces) with a good result. Despite changes in the yard commissioning team, we used less time from Marioff commissioning engineer (excluding the work on transfer voyage).</w:t>
              <w:br/>
              <w:t xml:space="preserve">It is difficult to get a large system covering the whole ship ready. It is also important to keep track on the system as a whole, not only piping construction. The system finalization is also totally dependent on the electric connections. 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The system covered systems 5720 and 5740.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