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8000 Deck Areas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Design: 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Design: 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Design: 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Design: 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Design: 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Design: 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