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9135 Motor Starter Units and Separate Starters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Mostly</w:t>
            </w:r>
          </w:p>
          <w:p>
            <w:pPr>
              <w:pStyle w:val="ListBullet"/>
            </w:pPr>
            <w:r>
              <w:t>Design: 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Design: Nothing special to mention</w:t>
            </w:r>
          </w:p>
          <w:p>
            <w:pPr>
              <w:pStyle w:val="ListBullet"/>
            </w:pPr>
            <w:r>
              <w:t>Design: 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Design: 91xx Went well, some minor budget challenges</w:t>
              <w:br/>
              <w:t>96xx Material logistic was big mess. Delivery registration missing. Missing equipment - TK suppliers has no responsibility of any material</w:t>
            </w:r>
          </w:p>
          <w:p>
            <w:pPr>
              <w:pStyle w:val="ListBullet"/>
            </w:pPr>
            <w:r>
              <w:t xml:space="preserve">Design: 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Design: Mostly ok.</w:t>
            </w:r>
          </w:p>
          <w:p>
            <w:pPr>
              <w:pStyle w:val="ListBullet"/>
            </w:pPr>
            <w:r>
              <w:t>Design: 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Internal communication ok. External communication with suppliers mostly ok.</w:t>
              <w:br/>
              <w:t>Communication with 'the' TK supplier was bit challenging...</w:t>
            </w:r>
          </w:p>
          <w:p>
            <w:pPr>
              <w:pStyle w:val="ListBullet"/>
            </w:pPr>
            <w:r>
              <w:t>Design: 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Design: Some things went to correct direction but regarding TK the opposite way.</w:t>
            </w:r>
          </w:p>
          <w:p>
            <w:pPr>
              <w:pStyle w:val="ListBullet"/>
            </w:pPr>
            <w:r>
              <w:t>Design: 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