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9333 Emergency Telegraph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Yes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No problems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Budget was good, yard was refunded.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Design: First time in 20 years automation design made all drawings, not outsourced. 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Machinery design have skilled designers.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Jira and ERM  doesn't work as I expected. ACAD without electrical symbols.</w:t>
            </w:r>
          </w:p>
        </w:tc>
      </w:tr>
      <w:tr>
        <w:tc>
          <w:tcPr>
            <w:tcW w:type="dxa" w:w="2160"/>
          </w:tcPr>
          <w:p>
            <w:r>
              <w:t>Other comments?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Design: More teamwork before purchase of different sister systems.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