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Multi-document claims adjudication &amp; fraud screening system</w:t>
      </w:r>
    </w:p>
    <w:p>
      <w:pPr>
        <w:spacing w:after="300"/>
      </w:pPr>
      <w:r>
        <w:t xml:space="preserve">Technical design &amp; architecture write-up — prepared for SecureClaim Insurance Group</w:t>
      </w:r>
    </w:p>
    <w:p>
      <w:pPr>
        <w:pStyle w:val="Heading1"/>
      </w:pPr>
      <w:r>
        <w:t xml:space="preserve">1. Executive summary</w:t>
      </w:r>
    </w:p>
    <w:p>
      <w:pPr>
        <w:spacing w:after="160"/>
      </w:pPr>
      <w:r>
        <w:t xml:space="preserve">SecureClaim's last two automation attempts failed for structural reasons, not model-quality reasons: a single agent read entire bundles at once and mixed up figures between similarly-formatted invoices, the system never actually checked claimed amounts against source documents, ambiguous policy clauses were filled in with plausible-sounding guesses instead of being flagged, and a single OCR misread could silently propagate all the way to a final approval with nothing positioned to catch it.</w:t>
      </w:r>
    </w:p>
    <w:p>
      <w:pPr>
        <w:spacing w:after="160"/>
      </w:pPr>
      <w:r>
        <w:t xml:space="preserve">This design treats each of those four failures as a distinct engineering problem with a distinct, testable fix, rather than trying to make one large model call "more careful." The system is a six-stage pipeline in which every fact carries its own source citation from the moment it is extracted, low-confidence facts are physically blocked from reaching an auto-approval decision, and the final approve/review/investigate routing is deterministic, auditable code rather than a model judgement call.</w:t>
      </w:r>
    </w:p>
    <w:p>
      <w:pPr>
        <w:spacing w:after="160"/>
      </w:pPr>
      <w:r>
        <w:t xml:space="preserve">A working demo implementing this design (Python, runnable offline against canned model responses or live against the Claude API) is included alongside this write-up, along with unit tests that prove the anti-fabrication guarantees hold at the code level, not just by policy.</w:t>
      </w:r>
    </w:p>
    <w:p>
      <w:pPr>
        <w:pStyle w:val="Heading1"/>
      </w:pPr>
      <w:r>
        <w:t xml:space="preserve">2. Root cause of the previous failures, and this design's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shd w:fill="2C3E50" w:val="clear"/>
            <w:tcMar>
              <w:top w:type="dxa" w:w="100"/>
              <w:left w:type="dxa" w:w="120"/>
              <w:bottom w:type="dxa" w:w="100"/>
              <w:right w:type="dxa" w:w="120"/>
            </w:tcMar>
          </w:tcPr>
          <w:p>
            <w:r>
              <w:rPr>
                <w:b/>
                <w:bCs/>
                <w:color w:val="FFFFFF"/>
                <w:sz w:val="20"/>
                <w:szCs w:val="20"/>
              </w:rPr>
              <w:t xml:space="preserve">Previous failure mode</w:t>
            </w:r>
          </w:p>
        </w:tc>
        <w:tc>
          <w:tcPr>
            <w:tcW w:type="dxa" w:w="3480"/>
            <w:shd w:fill="2C3E50" w:val="clear"/>
            <w:tcMar>
              <w:top w:type="dxa" w:w="100"/>
              <w:left w:type="dxa" w:w="120"/>
              <w:bottom w:type="dxa" w:w="100"/>
              <w:right w:type="dxa" w:w="120"/>
            </w:tcMar>
          </w:tcPr>
          <w:p>
            <w:r>
              <w:rPr>
                <w:b/>
                <w:bCs/>
                <w:color w:val="FFFFFF"/>
                <w:sz w:val="20"/>
                <w:szCs w:val="20"/>
              </w:rPr>
              <w:t xml:space="preserve">Root cause</w:t>
            </w:r>
          </w:p>
        </w:tc>
        <w:tc>
          <w:tcPr>
            <w:tcW w:type="dxa" w:w="3480"/>
            <w:shd w:fill="2C3E50" w:val="clear"/>
            <w:tcMar>
              <w:top w:type="dxa" w:w="100"/>
              <w:left w:type="dxa" w:w="120"/>
              <w:bottom w:type="dxa" w:w="100"/>
              <w:right w:type="dxa" w:w="120"/>
            </w:tcMar>
          </w:tcPr>
          <w:p>
            <w:r>
              <w:rPr>
                <w:b/>
                <w:bCs/>
                <w:color w:val="FFFFFF"/>
                <w:sz w:val="20"/>
                <w:szCs w:val="20"/>
              </w:rPr>
              <w:t xml:space="preserve">Fix in this design</w:t>
            </w:r>
          </w:p>
        </w:tc>
      </w:tr>
      <w:tr>
        <w:tc>
          <w:tcPr>
            <w:tcW w:type="dxa" w:w="2400"/>
            <w:tcMar>
              <w:top w:type="dxa" w:w="100"/>
              <w:left w:type="dxa" w:w="120"/>
              <w:bottom w:type="dxa" w:w="100"/>
              <w:right w:type="dxa" w:w="120"/>
            </w:tcMar>
          </w:tcPr>
          <w:p>
            <w:r>
              <w:rPr>
                <w:b w:val="false"/>
                <w:bCs w:val="false"/>
                <w:sz w:val="20"/>
                <w:szCs w:val="20"/>
              </w:rPr>
              <w:t xml:space="preserve">Monolithic confusion</w:t>
            </w:r>
          </w:p>
        </w:tc>
        <w:tc>
          <w:tcPr>
            <w:tcW w:type="dxa" w:w="3480"/>
            <w:tcMar>
              <w:top w:type="dxa" w:w="100"/>
              <w:left w:type="dxa" w:w="120"/>
              <w:bottom w:type="dxa" w:w="100"/>
              <w:right w:type="dxa" w:w="120"/>
            </w:tcMar>
          </w:tcPr>
          <w:p>
            <w:r>
              <w:rPr>
                <w:b w:val="false"/>
                <w:bCs w:val="false"/>
                <w:sz w:val="20"/>
                <w:szCs w:val="20"/>
              </w:rPr>
              <w:t xml:space="preserve">One agent read the whole bundle (5–20 documents) in a single pass, mixing up figures between similarly-formatted invoices.</w:t>
            </w:r>
          </w:p>
        </w:tc>
        <w:tc>
          <w:tcPr>
            <w:tcW w:type="dxa" w:w="3480"/>
            <w:tcMar>
              <w:top w:type="dxa" w:w="100"/>
              <w:left w:type="dxa" w:w="120"/>
              <w:bottom w:type="dxa" w:w="100"/>
              <w:right w:type="dxa" w:w="120"/>
            </w:tcMar>
          </w:tcPr>
          <w:p>
            <w:r>
              <w:rPr>
                <w:b w:val="false"/>
                <w:bCs w:val="false"/>
                <w:sz w:val="20"/>
                <w:szCs w:val="20"/>
              </w:rPr>
              <w:t xml:space="preserve">Stage 2 runs one isolated model call per document. No call ever sees more than one document's text, so there is no shared context for figures to leak across.</w:t>
            </w:r>
          </w:p>
        </w:tc>
      </w:tr>
      <w:tr>
        <w:tc>
          <w:tcPr>
            <w:tcW w:type="dxa" w:w="2400"/>
            <w:tcMar>
              <w:top w:type="dxa" w:w="100"/>
              <w:left w:type="dxa" w:w="120"/>
              <w:bottom w:type="dxa" w:w="100"/>
              <w:right w:type="dxa" w:w="120"/>
            </w:tcMar>
          </w:tcPr>
          <w:p>
            <w:r>
              <w:rPr>
                <w:b w:val="false"/>
                <w:bCs w:val="false"/>
                <w:sz w:val="20"/>
                <w:szCs w:val="20"/>
              </w:rPr>
              <w:t xml:space="preserve">Verification blind spot</w:t>
            </w:r>
          </w:p>
        </w:tc>
        <w:tc>
          <w:tcPr>
            <w:tcW w:type="dxa" w:w="3480"/>
            <w:tcMar>
              <w:top w:type="dxa" w:w="100"/>
              <w:left w:type="dxa" w:w="120"/>
              <w:bottom w:type="dxa" w:w="100"/>
              <w:right w:type="dxa" w:w="120"/>
            </w:tcMar>
          </w:tcPr>
          <w:p>
            <w:r>
              <w:rPr>
                <w:b w:val="false"/>
                <w:bCs w:val="false"/>
                <w:sz w:val="20"/>
                <w:szCs w:val="20"/>
              </w:rPr>
              <w:t xml:space="preserve">The claimed amount was taken at face value; nothing checked it against invoice line items or policy limits.</w:t>
            </w:r>
          </w:p>
        </w:tc>
        <w:tc>
          <w:tcPr>
            <w:tcW w:type="dxa" w:w="3480"/>
            <w:tcMar>
              <w:top w:type="dxa" w:w="100"/>
              <w:left w:type="dxa" w:w="120"/>
              <w:bottom w:type="dxa" w:w="100"/>
              <w:right w:type="dxa" w:w="120"/>
            </w:tcMar>
          </w:tcPr>
          <w:p>
            <w:r>
              <w:rPr>
                <w:b w:val="false"/>
                <w:bCs w:val="false"/>
                <w:sz w:val="20"/>
                <w:szCs w:val="20"/>
              </w:rPr>
              <w:t xml:space="preserve">Stage 4 exists specifically to compare structured, cited fields across documents — claim form vs. invoice line items vs. independent estimates vs. policy limits — and cannot report a mismatch without citing two source fields.</w:t>
            </w:r>
          </w:p>
        </w:tc>
      </w:tr>
      <w:tr>
        <w:tc>
          <w:tcPr>
            <w:tcW w:type="dxa" w:w="2400"/>
            <w:tcMar>
              <w:top w:type="dxa" w:w="100"/>
              <w:left w:type="dxa" w:w="120"/>
              <w:bottom w:type="dxa" w:w="100"/>
              <w:right w:type="dxa" w:w="120"/>
            </w:tcMar>
          </w:tcPr>
          <w:p>
            <w:r>
              <w:rPr>
                <w:b w:val="false"/>
                <w:bCs w:val="false"/>
                <w:sz w:val="20"/>
                <w:szCs w:val="20"/>
              </w:rPr>
              <w:t xml:space="preserve">Silent fabrication</w:t>
            </w:r>
          </w:p>
        </w:tc>
        <w:tc>
          <w:tcPr>
            <w:tcW w:type="dxa" w:w="3480"/>
            <w:tcMar>
              <w:top w:type="dxa" w:w="100"/>
              <w:left w:type="dxa" w:w="120"/>
              <w:bottom w:type="dxa" w:w="100"/>
              <w:right w:type="dxa" w:w="120"/>
            </w:tcMar>
          </w:tcPr>
          <w:p>
            <w:r>
              <w:rPr>
                <w:b w:val="false"/>
                <w:bCs w:val="false"/>
                <w:sz w:val="20"/>
                <w:szCs w:val="20"/>
              </w:rPr>
              <w:t xml:space="preserve">Ambiguous clauses or missing documents were filled in with a plausible assumption about coverage.</w:t>
            </w:r>
          </w:p>
        </w:tc>
        <w:tc>
          <w:tcPr>
            <w:tcW w:type="dxa" w:w="3480"/>
            <w:tcMar>
              <w:top w:type="dxa" w:w="100"/>
              <w:left w:type="dxa" w:w="120"/>
              <w:bottom w:type="dxa" w:w="100"/>
              <w:right w:type="dxa" w:w="120"/>
            </w:tcMar>
          </w:tcPr>
          <w:p>
            <w:r>
              <w:rPr>
                <w:b w:val="false"/>
                <w:bCs w:val="false"/>
                <w:sz w:val="20"/>
                <w:szCs w:val="20"/>
              </w:rPr>
              <w:t xml:space="preserve">Coverage determinations require a policy citation to be True/False; the model is instructed — and the data model enforces at construction time — that an ambiguous or unsupported case must be covered=null with a rationale, never a guess.</w:t>
            </w:r>
          </w:p>
        </w:tc>
      </w:tr>
      <w:tr>
        <w:tc>
          <w:tcPr>
            <w:tcW w:type="dxa" w:w="2400"/>
            <w:tcMar>
              <w:top w:type="dxa" w:w="100"/>
              <w:left w:type="dxa" w:w="120"/>
              <w:bottom w:type="dxa" w:w="100"/>
              <w:right w:type="dxa" w:w="120"/>
            </w:tcMar>
          </w:tcPr>
          <w:p>
            <w:r>
              <w:rPr>
                <w:b w:val="false"/>
                <w:bCs w:val="false"/>
                <w:sz w:val="20"/>
                <w:szCs w:val="20"/>
              </w:rPr>
              <w:t xml:space="preserve">Uncontained cascading errors</w:t>
            </w:r>
          </w:p>
        </w:tc>
        <w:tc>
          <w:tcPr>
            <w:tcW w:type="dxa" w:w="3480"/>
            <w:tcMar>
              <w:top w:type="dxa" w:w="100"/>
              <w:left w:type="dxa" w:w="120"/>
              <w:bottom w:type="dxa" w:w="100"/>
              <w:right w:type="dxa" w:w="120"/>
            </w:tcMar>
          </w:tcPr>
          <w:p>
            <w:r>
              <w:rPr>
                <w:b w:val="false"/>
                <w:bCs w:val="false"/>
                <w:sz w:val="20"/>
                <w:szCs w:val="20"/>
              </w:rPr>
              <w:t xml:space="preserve">A single OCR misread on one invoice propagated silently through cost comparison, coverage, fraud scoring, and the final decision.</w:t>
            </w:r>
          </w:p>
        </w:tc>
        <w:tc>
          <w:tcPr>
            <w:tcW w:type="dxa" w:w="3480"/>
            <w:tcMar>
              <w:top w:type="dxa" w:w="100"/>
              <w:left w:type="dxa" w:w="120"/>
              <w:bottom w:type="dxa" w:w="100"/>
              <w:right w:type="dxa" w:w="120"/>
            </w:tcMar>
          </w:tcPr>
          <w:p>
            <w:r>
              <w:rPr>
                <w:b w:val="false"/>
                <w:bCs w:val="false"/>
                <w:sz w:val="20"/>
                <w:szCs w:val="20"/>
              </w:rPr>
              <w:t xml:space="preserve">Stage 3's confidence gate demotes any low-confidence field, especially financial ones, to "needs manual verification" and hard-blocks it from contributing to auto-approval — the demotion is local to that field, not global to the claim.</w:t>
            </w:r>
          </w:p>
        </w:tc>
      </w:tr>
    </w:tbl>
    <w:p>
      <w:pPr>
        <w:pStyle w:val="Heading1"/>
      </w:pPr>
      <w:r>
        <w:t xml:space="preserve">3. Pipeline architecture</w:t>
      </w:r>
    </w:p>
    <w:p>
      <w:pPr>
        <w:spacing w:after="160"/>
      </w:pPr>
      <w:r>
        <w:t xml:space="preserve">The pipeline is six stages, each with a single responsibility. A diagram of the flow was shared alongside this document; the stage responsibilities are:</w:t>
      </w:r>
    </w:p>
    <w:p>
      <w:pPr>
        <w:pStyle w:val="ListParagraph"/>
        <w:numPr>
          <w:ilvl w:val="0"/>
          <w:numId w:val="2"/>
        </w:numPr>
        <w:spacing w:after="80"/>
      </w:pPr>
      <w:r>
        <w:t xml:space="preserve">1. Ingest &amp; classify — per-document OCR/quality tagging and document-type classification.</w:t>
      </w:r>
    </w:p>
    <w:p>
      <w:pPr>
        <w:pStyle w:val="ListParagraph"/>
        <w:numPr>
          <w:ilvl w:val="0"/>
          <w:numId w:val="2"/>
        </w:numPr>
        <w:spacing w:after="80"/>
      </w:pPr>
      <w:r>
        <w:t xml:space="preserve">2. Per-document extraction (parallel) — one isolated agent call per document; every extracted field carries a page + location citation and a confidence tag.</w:t>
      </w:r>
    </w:p>
    <w:p>
      <w:pPr>
        <w:pStyle w:val="ListParagraph"/>
        <w:numPr>
          <w:ilvl w:val="0"/>
          <w:numId w:val="2"/>
        </w:numPr>
        <w:spacing w:after="80"/>
      </w:pPr>
      <w:r>
        <w:t xml:space="preserve">3. Confidence gate — validates every extracted field's confidence and the document's OCR quality; low-confidence financial fields are hard-blocked from auto-approval.</w:t>
      </w:r>
    </w:p>
    <w:p>
      <w:pPr>
        <w:pStyle w:val="ListParagraph"/>
        <w:numPr>
          <w:ilvl w:val="0"/>
          <w:numId w:val="2"/>
        </w:numPr>
        <w:spacing w:after="80"/>
      </w:pPr>
      <w:r>
        <w:t xml:space="preserve">4. Cross-document verification &amp; coverage determination — compares structured fields across documents for discrepancies, and determines policy coverage per claim item, both citation-bound.</w:t>
      </w:r>
    </w:p>
    <w:p>
      <w:pPr>
        <w:pStyle w:val="ListParagraph"/>
        <w:numPr>
          <w:ilvl w:val="0"/>
          <w:numId w:val="2"/>
        </w:numPr>
        <w:spacing w:after="80"/>
      </w:pPr>
      <w:r>
        <w:t xml:space="preserve">5. Fraud risk scoring — an evidence-cited, weighted score built only from the discrepancies and coverage findings already produced upstream.</w:t>
      </w:r>
    </w:p>
    <w:p>
      <w:pPr>
        <w:pStyle w:val="ListParagraph"/>
        <w:numPr>
          <w:ilvl w:val="0"/>
          <w:numId w:val="2"/>
        </w:numPr>
        <w:spacing w:after="80"/>
      </w:pPr>
      <w:r>
        <w:t xml:space="preserve">6. Routing + audit trail — deterministic rule-based routing to auto-approve / manual review / fraud investigation, plus a full decision record built from the same cited objects used to decide.</w:t>
      </w:r>
    </w:p>
    <w:p>
      <w:pPr>
        <w:spacing w:after="160"/>
      </w:pPr>
      <w:r>
        <w:t xml:space="preserve">Stages 2 and 4/5 use different model tiers deliberately (see §7, Cost &amp; scaling): stage 2 is O(n) in document count and runs on a fast/cheap model; stages 4–5 reason over the small structured output of stage 2, not raw document text, and run on a stronger model only where judgement is actually needed.</w:t>
      </w:r>
    </w:p>
    <w:p>
      <w:pPr>
        <w:pStyle w:val="Heading1"/>
      </w:pPr>
      <w:r>
        <w:t xml:space="preserve">4. Citation-first data model</w:t>
      </w:r>
    </w:p>
    <w:p>
      <w:pPr>
        <w:spacing w:after="160"/>
      </w:pPr>
      <w:r>
        <w:t xml:space="preserve">The core design decision underlying every failure fix above is a data model where a fact and its source are inseparable. An ExtractedField cannot exist without a SourceLocator (document, page, exact line or table cell). A Discrepancy's constructor raises an error if given fewer than two source citations — a cross-document mismatch claim without evidence cannot be constructed, whether the bug is in the pipeline code or a model hallucination. A CoverageDetermination with covered=True or covered=False raises an error if it lacks a policy citation; the only way to represent an ambiguous or unsupported case is the explicit covered=None escape hatch, which is treated as a routing signal (routes to manual review) rather than silently defaulting to an assumption.</w:t>
      </w:r>
    </w:p>
    <w:p>
      <w:pPr>
        <w:spacing w:after="160"/>
      </w:pPr>
      <w:r>
        <w:t xml:space="preserve">This means the guarantees in §2 are not just prompt instructions the model might ignore — they are enforced by the object model itself, and are covered by unit tests included with the demo code (test_invariants.py).</w:t>
      </w:r>
    </w:p>
    <w:p>
      <w:pPr>
        <w:pStyle w:val="Heading1"/>
      </w:pPr>
      <w:r>
        <w:t xml:space="preserve">5. Error containment: local demotion, not global failure</w:t>
      </w:r>
    </w:p>
    <w:p>
      <w:pPr>
        <w:spacing w:after="160"/>
      </w:pPr>
      <w:r>
        <w:t xml:space="preserve">The confidence gate (stage 3) is what stops a single bad extraction from becoming a bad final decision. When a field's confidence is low — because of poor scan quality, ambiguous handwriting, or genuine ambiguity in the source text — that field is tagged as unresolved and, if it's a financial figure, is hard-blocked from contributing to an auto-approve outcome. Critically, this demotion is scoped to that one field: a misread invoice line item blocks auto-approval for the claim as a whole (routing falls through to manual review) but does not corrupt or get silently dropped from the coverage or fraud-scoring stages — those stages still see it, tagged as low-confidence, and can factor "this figure needs verification" into their own outputs rather than being blindsided later.</w:t>
      </w:r>
    </w:p>
    <w:p>
      <w:pPr>
        <w:spacing w:after="160"/>
      </w:pPr>
      <w:r>
        <w:t xml:space="preserve">This is also why a malformed or unreadable document degrades gracefully rather than failing the whole claim: a document that can't be reliably parsed simply produces fields tagged low-confidence (or none at all), which routes the claim to manual review — it does not throw an exception that aborts processing of the other 4–19 documents in the bundle.</w:t>
      </w:r>
    </w:p>
    <w:p>
      <w:pPr>
        <w:pStyle w:val="Heading1"/>
      </w:pPr>
      <w:r>
        <w:t xml:space="preserve">6. Fraud risk scoring</w:t>
      </w:r>
    </w:p>
    <w:p>
      <w:pPr>
        <w:spacing w:after="160"/>
      </w:pPr>
      <w:r>
        <w:t xml:space="preserve">The fraud score is not an opaque single number. It is built from the discrepancies and coverage findings the pipeline already produced and identified with citations, so every point on the 0–100 score is traceable to a named signal, a weight, and a source document/field. This is what makes the score defensible to a fraud investigator or a regulator asking "why did this claim score 68?" — the answer is always a specific, itemized list, not a model's unexplained confidence.</w:t>
      </w:r>
    </w:p>
    <w:p>
      <w:pPr>
        <w:spacing w:after="160"/>
      </w:pPr>
      <w:r>
        <w:t xml:space="preserve">In the reference implementation, routing applies two thresholds: a score at or above 60 routes directly to fraud investigation regardless of other findings; a score at or above 30, or any unresolved confidence flag, or any major/critical discrepancy, or any undetermined coverage finding routes to manual review. Only a claim with zero unresolved flags, no major/critical discrepancies, fully determined coverage, and a fraud score below 30 is eligible for auto-approval. These thresholds are configuration, not architecture — SecureClaim's fraud team can tune them without touching the pipeline logic.</w:t>
      </w:r>
    </w:p>
    <w:p>
      <w:pPr>
        <w:pStyle w:val="Heading1"/>
      </w:pPr>
      <w:r>
        <w:t xml:space="preserve">7. Cost &amp; scaling strategy</w:t>
      </w:r>
    </w:p>
    <w:p>
      <w:pPr>
        <w:spacing w:after="160"/>
      </w:pPr>
      <w:r>
        <w:t xml:space="preserve">Two design choices keep cost roughly linear in claim volume and document count rather than blowing up on larger bundles:</w:t>
      </w:r>
    </w:p>
    <w:p>
      <w:pPr>
        <w:pStyle w:val="ListParagraph"/>
        <w:numPr>
          <w:ilvl w:val="0"/>
          <w:numId w:val="2"/>
        </w:numPr>
        <w:spacing w:after="80"/>
      </w:pPr>
      <w:r>
        <w:t xml:space="preserve">Tiered model routing: stage 2 (one call per document) runs on a fast/cheap model tier; stages 4–5 (a small, roughly constant number of calls per claim) run on a stronger tier, and they reason over already-extracted structured fields rather than re-reading raw document text. A 20-document bundle means 20 cheap extraction calls, not 20 expensive reasoning calls.</w:t>
      </w:r>
    </w:p>
    <w:p>
      <w:pPr>
        <w:pStyle w:val="ListParagraph"/>
        <w:numPr>
          <w:ilvl w:val="0"/>
          <w:numId w:val="2"/>
        </w:numPr>
        <w:spacing w:after="80"/>
      </w:pPr>
      <w:r>
        <w:t xml:space="preserve">No monolithic context growth: because stage 2 never combines documents into one prompt, per-document cost does not grow with the number of other documents in the bundle — cost is O(n) in document count, not O(n²).</w:t>
      </w:r>
    </w:p>
    <w:p>
      <w:pPr>
        <w:pStyle w:val="ListParagraph"/>
        <w:numPr>
          <w:ilvl w:val="0"/>
          <w:numId w:val="2"/>
        </w:numPr>
        <w:spacing w:after="80"/>
      </w:pPr>
      <w:r>
        <w:t xml:space="preserve">Deterministic routing has zero model cost: the highest-stakes decision in the pipeline (stage 6) is plain rule evaluation over already-computed fields, not a model call.</w:t>
      </w:r>
    </w:p>
    <w:p>
      <w:pPr>
        <w:pStyle w:val="ListParagraph"/>
        <w:numPr>
          <w:ilvl w:val="0"/>
          <w:numId w:val="2"/>
        </w:numPr>
        <w:spacing w:after="80"/>
      </w:pPr>
      <w:r>
        <w:t xml:space="preserve">A production deployment can additionally cache extracted, immutable policy terms per policyholder, so a policyholder's second and subsequent claims don't re-extract the same policy document.</w:t>
      </w:r>
    </w:p>
    <w:p>
      <w:pPr>
        <w:pStyle w:val="Heading1"/>
      </w:pPr>
      <w:r>
        <w:t xml:space="preserve">8. Auditability &amp; regulatory compliance</w:t>
      </w:r>
    </w:p>
    <w:p>
      <w:pPr>
        <w:spacing w:after="160"/>
      </w:pPr>
      <w:r>
        <w:t xml:space="preserve">Every approval or denial is traceable to source evidence by construction: the audit trail (audit.py) is rendered directly from the same citation-bearing objects the pipeline used to make the decision — extracted fields with their exact document/page/location, discrepancies with their two-or-more citations, coverage findings with their policy citations, and the fraud score's itemized signal breakdown. Because the report is generated from the decision objects rather than written as a separate summary afterward, it cannot drift from what the pipeline actually did. A sample full decision trail is included as sample_decision_trail.txt.</w:t>
      </w:r>
    </w:p>
    <w:p>
      <w:pPr>
        <w:pStyle w:val="Heading1"/>
      </w:pPr>
      <w:r>
        <w:t xml:space="preserve">9. Handling degraded, malformed, or scanned documents</w:t>
      </w:r>
    </w:p>
    <w:p>
      <w:pPr>
        <w:spacing w:after="160"/>
      </w:pPr>
      <w:r>
        <w:t xml:space="preserve">Document quality is tracked at ingestion (stage 1) as an OCR/quality confidence tag on the whole document, which is combined with per-field confidence at the gate (stage 3). A poor-quality scan does not fail the claim outright — it produces fields tagged low-confidence (or, for fields the extractor can't read at all, no field), which the routing stage treats the same way as any other unresolved flag: fall through to manual review rather than block the entire bundle or silently guess. This satisfies the requirement to degrade gracefully rather than failing the whole claim on a single bad document.</w:t>
      </w:r>
    </w:p>
    <w:p>
      <w:pPr>
        <w:pStyle w:val="Heading1"/>
      </w:pPr>
      <w:r>
        <w:t xml:space="preserve">10. Deliverables included</w:t>
      </w:r>
    </w:p>
    <w:p>
      <w:pPr>
        <w:pStyle w:val="ListParagraph"/>
        <w:numPr>
          <w:ilvl w:val="0"/>
          <w:numId w:val="2"/>
        </w:numPr>
        <w:spacing w:after="80"/>
      </w:pPr>
      <w:r>
        <w:t xml:space="preserve">Architecture diagram (shared inline in the design conversation).</w:t>
      </w:r>
    </w:p>
    <w:p>
      <w:pPr>
        <w:pStyle w:val="ListParagraph"/>
        <w:numPr>
          <w:ilvl w:val="0"/>
          <w:numId w:val="2"/>
        </w:numPr>
        <w:spacing w:after="80"/>
      </w:pPr>
      <w:r>
        <w:t xml:space="preserve">This technical write-up.</w:t>
      </w:r>
    </w:p>
    <w:p>
      <w:pPr>
        <w:pStyle w:val="ListParagraph"/>
        <w:numPr>
          <w:ilvl w:val="0"/>
          <w:numId w:val="2"/>
        </w:numPr>
        <w:spacing w:after="80"/>
      </w:pPr>
      <w:r>
        <w:t xml:space="preserve">Working source code implementing all six stages, runnable end-to-end offline or against the live Claude API (claims_pipeline/).</w:t>
      </w:r>
    </w:p>
    <w:p>
      <w:pPr>
        <w:pStyle w:val="ListParagraph"/>
        <w:numPr>
          <w:ilvl w:val="0"/>
          <w:numId w:val="2"/>
        </w:numPr>
        <w:spacing w:after="80"/>
      </w:pPr>
      <w:r>
        <w:t xml:space="preserve">A sample claim bundle seeded with the exact inflated-invoice pattern that got past the two previous automation attempts, plus a full sample decision trail showing the pipeline correctly catching it and routing to fraud investigation.</w:t>
      </w:r>
    </w:p>
    <w:p>
      <w:pPr>
        <w:pStyle w:val="ListParagraph"/>
        <w:numPr>
          <w:ilvl w:val="0"/>
          <w:numId w:val="2"/>
        </w:numPr>
        <w:spacing w:after="80"/>
      </w:pPr>
      <w:r>
        <w:t xml:space="preserve">Unit tests proving the anti-fabrication and citation-required guarantees are enforced at the code level (test_invariants.py).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2026-07-28T10:07:57.165Z</dcterms:created>
  <dcterms:modified xsi:type="dcterms:W3CDTF">2026-07-28T10:07:57.180Z</dcterms:modified>
</cp:coreProperties>
</file>

<file path=docProps/custom.xml><?xml version="1.0" encoding="utf-8"?>
<Properties xmlns="http://schemas.openxmlformats.org/officeDocument/2006/custom-properties" xmlns:vt="http://schemas.openxmlformats.org/officeDocument/2006/docPropsVTypes"/>
</file>