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Togo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4909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Hv206,hv207,hv208,hv210,hv211,hv227,hv243a,hv243b,hv244,hv246,hv246b,hv246g,hv246i,hv247,sh114g,sh114i,sh114m,water,toilet,floor,roof,cookfuel,wall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Excluded any binary variables with class imbalance of 7% or less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0.946136650069413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0.938144591273713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0.936903349358857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0.936735276253412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0.929624387964425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0.928726951337737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0.928036948954576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0.925165809680719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0.922501541329298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0.920928179814633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sh114g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Togo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2589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58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Binary,44.6%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Binary,30.5%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Binary,82.9%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cd/dvd player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Binary,18.7%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dish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Binary,12.4%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sh114m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Binary,22.10%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floor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= 15.46%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1= 0%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= 84.54%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roof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Finished: 88.14%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Natural: 11.20%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Rudimentary: 0.65%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sh114i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floor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18.9%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13.8%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12.4%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15.6%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41.4%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