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Times New Roman" w:hAnsi="Times New Roman"/>
          <w:b/>
          <w:color w:val="102C57"/>
          <w:sz w:val="22"/>
        </w:rPr>
        <w:t>BỘ CÔNG THƯƠNG</w:t>
        <w:br/>
        <w:t>TRƯỜNG ĐẠI HỌC CÔNG THƯƠNG TP. HỒ CHÍ MINH</w:t>
        <w:br/>
        <w:t>KHOA CÔNG NGHỆ THÔNG TIN</w:t>
      </w:r>
    </w:p>
    <w:p>
      <w:pPr>
        <w:spacing w:before="40" w:after="200"/>
        <w:jc w:val="center"/>
      </w:pPr>
      <w:r>
        <w:rPr>
          <w:rFonts w:ascii="Times New Roman" w:hAnsi="Times New Roman"/>
          <w:b/>
          <w:sz w:val="22"/>
        </w:rPr>
        <w:t>-----  -----</w:t>
      </w:r>
    </w:p>
    <w:p>
      <w:pPr>
        <w:spacing w:before="160" w:after="80"/>
        <w:jc w:val="center"/>
      </w:pPr>
      <w:r>
        <w:rPr>
          <w:rFonts w:ascii="Times New Roman" w:hAnsi="Times New Roman"/>
          <w:b/>
          <w:color w:val="102C57"/>
          <w:sz w:val="30"/>
        </w:rPr>
        <w:t>BÁO CÁO TIẾN ĐỘ THỰC HIỆN ĐỀ TÀI KHÓA LUẬN TỐT NGHIỆP</w:t>
      </w:r>
    </w:p>
    <w:p>
      <w:pPr>
        <w:spacing w:before="40" w:after="240"/>
        <w:jc w:val="center"/>
      </w:pPr>
      <w:r>
        <w:rPr>
          <w:rFonts w:ascii="Times New Roman" w:hAnsi="Times New Roman"/>
          <w:b/>
          <w:color w:val="2563EB"/>
          <w:sz w:val="24"/>
        </w:rPr>
        <w:t>TUẦN THỰC HIỆN: 28/09/2026 – 05/10/2026</w:t>
        <w:br/>
        <w:t>CHUYÊN ĐỀ: SO SÁNH ĐỐI SÁNH HIỆU NĂNG MÔ HÌNH VỚI CÁC CÔNG TRÌNH NGHIÊN CỨU TRƯỚC TRÊN TẬP DỮ LIỆU EYEPACS &amp; ĐÓNG GÓI HỆ THỐNG RETINAGUARD AI</w:t>
      </w:r>
    </w:p>
    <w:tbl>
      <w:tblPr>
        <w:tblW w:type="auto" w:w="0"/>
        <w:jc w:val="center"/>
        <w:tblLook w:firstColumn="1" w:firstRow="1" w:lastColumn="0" w:lastRow="0" w:noHBand="0" w:noVBand="1" w:val="04A0"/>
      </w:tblPr>
      <w:tblGrid>
        <w:gridCol w:w="2551"/>
        <w:gridCol w:w="5953"/>
      </w:tblGrid>
      <w:tr>
        <w:trPr>
          <w:tblHeader/>
          <w:cantSplit/>
        </w:trPr>
        <w:tc>
          <w:tcPr>
            <w:tcW w:type="dxa" w:w="2551"/>
            <w:shd w:fill="F1F5F9"/>
            <w:tcBorders>
              <w:top w:val="single" w:sz="4" w:space="0" w:color="CBD5E1"/>
              <w:bottom w:val="single" w:sz="4" w:space="0" w:color="CBD5E1"/>
              <w:left w:val="single" w:sz="4" w:space="0" w:color="CBD5E1"/>
              <w:right w:val="single" w:sz="4" w:space="0" w:color="CBD5E1"/>
            </w:tcBorders>
            <w:tcMar>
              <w:top w:w="100" w:type="dxa"/>
              <w:bottom w:w="100" w:type="dxa"/>
              <w:left w:w="140" w:type="dxa"/>
              <w:right w:w="140" w:type="dxa"/>
            </w:tcMar>
          </w:tcPr>
          <w:p>
            <w:r>
              <w:rPr>
                <w:rFonts w:ascii="Times New Roman" w:hAnsi="Times New Roman"/>
                <w:b/>
                <w:color w:val="102C57"/>
                <w:sz w:val="22"/>
              </w:rPr>
              <w:t>Tên đề tài:</w:t>
            </w:r>
          </w:p>
        </w:tc>
        <w:tc>
          <w:tcPr>
            <w:tcW w:type="dxa" w:w="5953"/>
            <w:shd w:fill="FFFFFF"/>
            <w:tcBorders>
              <w:top w:val="single" w:sz="4" w:space="0" w:color="CBD5E1"/>
              <w:bottom w:val="single" w:sz="4" w:space="0" w:color="CBD5E1"/>
              <w:left w:val="single" w:sz="4" w:space="0" w:color="CBD5E1"/>
              <w:right w:val="single" w:sz="4" w:space="0" w:color="CBD5E1"/>
            </w:tcBorders>
            <w:tcMar>
              <w:top w:w="100" w:type="dxa"/>
              <w:bottom w:w="100" w:type="dxa"/>
              <w:left w:w="140" w:type="dxa"/>
              <w:right w:w="140" w:type="dxa"/>
            </w:tcMar>
          </w:tcPr>
          <w:p>
            <w:r>
              <w:rPr>
                <w:rFonts w:ascii="Times New Roman" w:hAnsi="Times New Roman"/>
                <w:color w:val="1E293B"/>
                <w:sz w:val="22"/>
              </w:rPr>
              <w:t>Nghiên cứu Vision Transformer và ứng dụng phân loại mức độ bệnh tiểu đường từ ảnh đáy võng mạc mắt</w:t>
            </w:r>
          </w:p>
        </w:tc>
      </w:tr>
      <w:tr>
        <w:trPr>
          <w:cantSplit/>
        </w:trPr>
        <w:tc>
          <w:tcPr>
            <w:tcW w:type="dxa" w:w="2551"/>
            <w:shd w:fill="F1F5F9"/>
            <w:tcBorders>
              <w:top w:val="single" w:sz="4" w:space="0" w:color="CBD5E1"/>
              <w:bottom w:val="single" w:sz="4" w:space="0" w:color="CBD5E1"/>
              <w:left w:val="single" w:sz="4" w:space="0" w:color="CBD5E1"/>
              <w:right w:val="single" w:sz="4" w:space="0" w:color="CBD5E1"/>
            </w:tcBorders>
            <w:tcMar>
              <w:top w:w="100" w:type="dxa"/>
              <w:bottom w:w="100" w:type="dxa"/>
              <w:left w:w="140" w:type="dxa"/>
              <w:right w:w="140" w:type="dxa"/>
            </w:tcMar>
          </w:tcPr>
          <w:p>
            <w:r>
              <w:rPr>
                <w:rFonts w:ascii="Times New Roman" w:hAnsi="Times New Roman"/>
                <w:b/>
                <w:color w:val="102C57"/>
                <w:sz w:val="22"/>
              </w:rPr>
              <w:t>Ngành đào tạo:</w:t>
            </w:r>
          </w:p>
        </w:tc>
        <w:tc>
          <w:tcPr>
            <w:tcW w:type="dxa" w:w="5953"/>
            <w:shd w:fill="FFFFFF"/>
            <w:tcBorders>
              <w:top w:val="single" w:sz="4" w:space="0" w:color="CBD5E1"/>
              <w:bottom w:val="single" w:sz="4" w:space="0" w:color="CBD5E1"/>
              <w:left w:val="single" w:sz="4" w:space="0" w:color="CBD5E1"/>
              <w:right w:val="single" w:sz="4" w:space="0" w:color="CBD5E1"/>
            </w:tcBorders>
            <w:tcMar>
              <w:top w:w="100" w:type="dxa"/>
              <w:bottom w:w="100" w:type="dxa"/>
              <w:left w:w="140" w:type="dxa"/>
              <w:right w:w="140" w:type="dxa"/>
            </w:tcMar>
          </w:tcPr>
          <w:p>
            <w:r>
              <w:rPr>
                <w:rFonts w:ascii="Times New Roman" w:hAnsi="Times New Roman"/>
                <w:color w:val="1E293B"/>
                <w:sz w:val="22"/>
              </w:rPr>
              <w:t>Công nghệ Thông tin (Khoa Công nghệ Thông tin - Trường Đại học Công Thương TP.HCM)</w:t>
            </w:r>
          </w:p>
        </w:tc>
      </w:tr>
      <w:tr>
        <w:trPr>
          <w:cantSplit/>
        </w:trPr>
        <w:tc>
          <w:tcPr>
            <w:tcW w:type="dxa" w:w="2551"/>
            <w:shd w:fill="F1F5F9"/>
            <w:tcBorders>
              <w:top w:val="single" w:sz="4" w:space="0" w:color="CBD5E1"/>
              <w:bottom w:val="single" w:sz="4" w:space="0" w:color="CBD5E1"/>
              <w:left w:val="single" w:sz="4" w:space="0" w:color="CBD5E1"/>
              <w:right w:val="single" w:sz="4" w:space="0" w:color="CBD5E1"/>
            </w:tcBorders>
            <w:tcMar>
              <w:top w:w="100" w:type="dxa"/>
              <w:bottom w:w="100" w:type="dxa"/>
              <w:left w:w="140" w:type="dxa"/>
              <w:right w:w="140" w:type="dxa"/>
            </w:tcMar>
          </w:tcPr>
          <w:p>
            <w:r>
              <w:rPr>
                <w:rFonts w:ascii="Times New Roman" w:hAnsi="Times New Roman"/>
                <w:b/>
                <w:color w:val="102C57"/>
                <w:sz w:val="22"/>
              </w:rPr>
              <w:t>Giảng viên hướng dẫn:</w:t>
            </w:r>
          </w:p>
        </w:tc>
        <w:tc>
          <w:tcPr>
            <w:tcW w:type="dxa" w:w="5953"/>
            <w:shd w:fill="FFFFFF"/>
            <w:tcBorders>
              <w:top w:val="single" w:sz="4" w:space="0" w:color="CBD5E1"/>
              <w:bottom w:val="single" w:sz="4" w:space="0" w:color="CBD5E1"/>
              <w:left w:val="single" w:sz="4" w:space="0" w:color="CBD5E1"/>
              <w:right w:val="single" w:sz="4" w:space="0" w:color="CBD5E1"/>
            </w:tcBorders>
            <w:tcMar>
              <w:top w:w="100" w:type="dxa"/>
              <w:bottom w:w="100" w:type="dxa"/>
              <w:left w:w="140" w:type="dxa"/>
              <w:right w:w="140" w:type="dxa"/>
            </w:tcMar>
          </w:tcPr>
          <w:p>
            <w:r>
              <w:rPr>
                <w:rFonts w:ascii="Times New Roman" w:hAnsi="Times New Roman"/>
                <w:color w:val="1E293B"/>
                <w:sz w:val="22"/>
              </w:rPr>
              <w:t>ThS. Trần Đình Toàn</w:t>
            </w:r>
          </w:p>
        </w:tc>
      </w:tr>
      <w:tr>
        <w:trPr>
          <w:cantSplit/>
        </w:trPr>
        <w:tc>
          <w:tcPr>
            <w:tcW w:type="dxa" w:w="2551"/>
            <w:shd w:fill="F1F5F9"/>
            <w:tcBorders>
              <w:top w:val="single" w:sz="4" w:space="0" w:color="CBD5E1"/>
              <w:bottom w:val="single" w:sz="4" w:space="0" w:color="CBD5E1"/>
              <w:left w:val="single" w:sz="4" w:space="0" w:color="CBD5E1"/>
              <w:right w:val="single" w:sz="4" w:space="0" w:color="CBD5E1"/>
            </w:tcBorders>
            <w:tcMar>
              <w:top w:w="100" w:type="dxa"/>
              <w:bottom w:w="100" w:type="dxa"/>
              <w:left w:w="140" w:type="dxa"/>
              <w:right w:w="140" w:type="dxa"/>
            </w:tcMar>
          </w:tcPr>
          <w:p>
            <w:r>
              <w:rPr>
                <w:rFonts w:ascii="Times New Roman" w:hAnsi="Times New Roman"/>
                <w:b/>
                <w:color w:val="102C57"/>
                <w:sz w:val="22"/>
              </w:rPr>
              <w:t>Sinh viên thực hiện:</w:t>
            </w:r>
          </w:p>
        </w:tc>
        <w:tc>
          <w:tcPr>
            <w:tcW w:type="dxa" w:w="5953"/>
            <w:shd w:fill="FFFFFF"/>
            <w:tcBorders>
              <w:top w:val="single" w:sz="4" w:space="0" w:color="CBD5E1"/>
              <w:bottom w:val="single" w:sz="4" w:space="0" w:color="CBD5E1"/>
              <w:left w:val="single" w:sz="4" w:space="0" w:color="CBD5E1"/>
              <w:right w:val="single" w:sz="4" w:space="0" w:color="CBD5E1"/>
            </w:tcBorders>
            <w:tcMar>
              <w:top w:w="100" w:type="dxa"/>
              <w:bottom w:w="100" w:type="dxa"/>
              <w:left w:w="140" w:type="dxa"/>
              <w:right w:w="140" w:type="dxa"/>
            </w:tcMar>
          </w:tcPr>
          <w:p>
            <w:r>
              <w:rPr>
                <w:rFonts w:ascii="Times New Roman" w:hAnsi="Times New Roman"/>
                <w:color w:val="1E293B"/>
                <w:sz w:val="22"/>
              </w:rPr>
              <w:t>1. Nguyễn Huy Thanh (MSSV: 2001230885 - Lớp: 14DHTH01)</w:t>
              <w:br/>
              <w:t>2. Nguyễn Cao Tấn Phúc (MSSV: 2001230680 - Lớp: 14DHTH03)</w:t>
              <w:br/>
              <w:t>3. Nguyễn Chí Thành (MSSV: 2001230898 - Lớp: 14DHTH01)</w:t>
            </w:r>
          </w:p>
        </w:tc>
      </w:tr>
      <w:tr>
        <w:trPr>
          <w:cantSplit/>
        </w:trPr>
        <w:tc>
          <w:tcPr>
            <w:tcW w:type="dxa" w:w="2551"/>
            <w:shd w:fill="F1F5F9"/>
            <w:tcBorders>
              <w:top w:val="single" w:sz="4" w:space="0" w:color="CBD5E1"/>
              <w:bottom w:val="single" w:sz="4" w:space="0" w:color="CBD5E1"/>
              <w:left w:val="single" w:sz="4" w:space="0" w:color="CBD5E1"/>
              <w:right w:val="single" w:sz="4" w:space="0" w:color="CBD5E1"/>
            </w:tcBorders>
            <w:tcMar>
              <w:top w:w="100" w:type="dxa"/>
              <w:bottom w:w="100" w:type="dxa"/>
              <w:left w:w="140" w:type="dxa"/>
              <w:right w:w="140" w:type="dxa"/>
            </w:tcMar>
          </w:tcPr>
          <w:p>
            <w:r>
              <w:rPr>
                <w:rFonts w:ascii="Times New Roman" w:hAnsi="Times New Roman"/>
                <w:b/>
                <w:color w:val="102C57"/>
                <w:sz w:val="22"/>
              </w:rPr>
              <w:t>Thời gian báo cáo:</w:t>
            </w:r>
          </w:p>
        </w:tc>
        <w:tc>
          <w:tcPr>
            <w:tcW w:type="dxa" w:w="5953"/>
            <w:shd w:fill="FFFFFF"/>
            <w:tcBorders>
              <w:top w:val="single" w:sz="4" w:space="0" w:color="CBD5E1"/>
              <w:bottom w:val="single" w:sz="4" w:space="0" w:color="CBD5E1"/>
              <w:left w:val="single" w:sz="4" w:space="0" w:color="CBD5E1"/>
              <w:right w:val="single" w:sz="4" w:space="0" w:color="CBD5E1"/>
            </w:tcBorders>
            <w:tcMar>
              <w:top w:w="100" w:type="dxa"/>
              <w:bottom w:w="100" w:type="dxa"/>
              <w:left w:w="140" w:type="dxa"/>
              <w:right w:w="140" w:type="dxa"/>
            </w:tcMar>
          </w:tcPr>
          <w:p>
            <w:r>
              <w:rPr>
                <w:rFonts w:ascii="Times New Roman" w:hAnsi="Times New Roman"/>
                <w:color w:val="1E293B"/>
                <w:sz w:val="22"/>
              </w:rPr>
              <w:t>Tuần 05: Từ ngày 28/09/2026 đến ngày 05/10/2026</w:t>
            </w:r>
          </w:p>
        </w:tc>
      </w:tr>
    </w:tbl>
    <w:p>
      <w:pPr>
        <w:spacing w:after="120"/>
      </w:pPr>
    </w:p>
    <w:p>
      <w:pPr>
        <w:keepNext/>
        <w:spacing w:before="320" w:after="120"/>
      </w:pPr>
      <w:r>
        <w:rPr>
          <w:rFonts w:ascii="Times New Roman" w:hAnsi="Times New Roman"/>
          <w:b/>
          <w:color w:val="102C57"/>
          <w:sz w:val="27"/>
        </w:rPr>
        <w:t>1. MỤC TIÊU VÀ NHIỆM VỤ ĐẶT RA TRONG TUẦN (28/09/2026 – 05/10/2026)</w:t>
      </w:r>
    </w:p>
    <w:p>
      <w:pPr>
        <w:spacing w:before="40" w:after="80" w:lineRule="auto" w:line="288"/>
        <w:jc w:val="both"/>
      </w:pPr>
      <w:r>
        <w:rPr>
          <w:rFonts w:ascii="Times New Roman" w:hAnsi="Times New Roman"/>
          <w:i w:val="0"/>
          <w:color w:val="1E293B"/>
          <w:sz w:val="24"/>
        </w:rPr>
        <w:t>Nối tiếp kết quả khả quan của tuần thực nghiệm trước về huấn luyện cơ sở hai mô hình mạng nơ-ron tích chập ResNet-50 và mô hình biến áp thị giác Vision Transformer (ViT-B/16), trong tuần học thuật từ 28/09/2026 đến 05/10/2026, nhóm nghiên cứu tập trung giải quyết các mục tiêu khoa học và kỹ thuật trọng tâm theo định hướng chuyên môn của Giảng viên hướng dẫn ThS. Trần Đình Toàn:</w:t>
      </w:r>
    </w:p>
    <w:p>
      <w:pPr>
        <w:pStyle w:val="ListBullet"/>
        <w:spacing w:before="20" w:after="60" w:lineRule="auto" w:line="276"/>
        <w:jc w:val="both"/>
      </w:pPr>
      <w:r>
        <w:rPr>
          <w:rFonts w:ascii="Times New Roman" w:hAnsi="Times New Roman"/>
          <w:b/>
          <w:color w:val="1E293B"/>
          <w:sz w:val="24"/>
        </w:rPr>
        <w:t>Mục tiêu 1:</w:t>
      </w:r>
      <w:r>
        <w:rPr>
          <w:rFonts w:ascii="Times New Roman" w:hAnsi="Times New Roman"/>
          <w:color w:val="1E293B"/>
          <w:sz w:val="24"/>
        </w:rPr>
        <w:t xml:space="preserve"> Nâng cấp toàn diện pipeline huấn luyện trên môi trường điện toán đám mây Kaggle GPU thông qua notebook 'klcn-resnet50-baseline-part2': nâng độ phân giải xử lý ảnh lên 384x384 và 512x512 kết hợp thuật toán tiền xử lý Ben Graham, cấu hình hàm mất mát Smoothed Weighted Cross-Entropy Loss để kiểm soát hiện tượng mất cân bằng lớp cực đoan, áp dụng cơ chế cập nhật trọng số Exponential Moving Average (EMA, decay=0.999), và tinh chỉnh ngưỡng phân vị sau huấn luyện (Post-hoc Threshold Tuning bằng thuật toán Nelder-Mead).</w:t>
      </w:r>
    </w:p>
    <w:p>
      <w:pPr>
        <w:pStyle w:val="ListBullet"/>
        <w:spacing w:before="20" w:after="60" w:lineRule="auto" w:line="276"/>
        <w:jc w:val="both"/>
      </w:pPr>
      <w:r>
        <w:rPr>
          <w:rFonts w:ascii="Times New Roman" w:hAnsi="Times New Roman"/>
          <w:b/>
          <w:color w:val="1E293B"/>
          <w:sz w:val="24"/>
        </w:rPr>
        <w:t>Mục tiêu 2:</w:t>
      </w:r>
      <w:r>
        <w:rPr>
          <w:rFonts w:ascii="Times New Roman" w:hAnsi="Times New Roman"/>
          <w:color w:val="1E293B"/>
          <w:sz w:val="24"/>
        </w:rPr>
        <w:t xml:space="preserve"> Thiết kế và huấn luyện độc lập Cổng kiểm duyệt đầu vào an toàn Fundus Gate (kiến trúc MobileNetV3-Small) nhằm giải quyết bài toán sống còn trong ứng dụng y tế thực tế: tự động phân loại và loại bỏ 100% các dữ liệu ảnh không hợp lệ (ảnh phong cảnh, chân dung, tài liệu, ảnh y tế X-quang/OCT và ảnh chụp mắt thường từ ngoài) trước khi đưa vào mô hình chẩn đoán bệnh võng mạc đái tháo đường chính.</w:t>
      </w:r>
    </w:p>
    <w:p>
      <w:pPr>
        <w:pStyle w:val="ListBullet"/>
        <w:spacing w:before="20" w:after="60" w:lineRule="auto" w:line="276"/>
        <w:jc w:val="both"/>
      </w:pPr>
      <w:r>
        <w:rPr>
          <w:rFonts w:ascii="Times New Roman" w:hAnsi="Times New Roman"/>
          <w:b/>
          <w:color w:val="1E293B"/>
          <w:sz w:val="24"/>
        </w:rPr>
        <w:t>Mục tiêu 3:</w:t>
      </w:r>
      <w:r>
        <w:rPr>
          <w:rFonts w:ascii="Times New Roman" w:hAnsi="Times New Roman"/>
          <w:color w:val="1E293B"/>
          <w:sz w:val="24"/>
        </w:rPr>
        <w:t xml:space="preserve"> Tiến hành khảo sát y văn quốc tế và thiết lập Bảng đối sánh định lượng đa chiều (Benchmark Matrix) đối chiếu trực tiếp hiệu năng của các mô hình do nhóm xây dựng với các công trình nghiên cứu mốc trên cùng bộ dữ liệu chuẩn mực EyePACS và cùng hệ thước đo y khoa: Quadratic Weighted Kappa (QWK), Macro-F1, Accuracy, Sensitivity, Specificity và AUC.</w:t>
      </w:r>
    </w:p>
    <w:p>
      <w:pPr>
        <w:pStyle w:val="ListBullet"/>
        <w:spacing w:before="20" w:after="60" w:lineRule="auto" w:line="276"/>
        <w:jc w:val="both"/>
      </w:pPr>
      <w:r>
        <w:rPr>
          <w:rFonts w:ascii="Times New Roman" w:hAnsi="Times New Roman"/>
          <w:b/>
          <w:color w:val="1E293B"/>
          <w:sz w:val="24"/>
        </w:rPr>
        <w:t>Mục tiêu 4:</w:t>
      </w:r>
      <w:r>
        <w:rPr>
          <w:rFonts w:ascii="Times New Roman" w:hAnsi="Times New Roman"/>
          <w:color w:val="1E293B"/>
          <w:sz w:val="24"/>
        </w:rPr>
        <w:t xml:space="preserve"> Luận giải khoa học chi tiết về các ưu điểm công nghệ vượt trội của nhóm (kiểm soát mất cân bằng lớp với Macro-F1 đạt 0.5094 - 0.5420, hệ thống Explainable AI kép minh bạch lâm sàng với Grad-CAM và Transformer Attribution, pipeline an toàn 2 giai đoạn), đồng thời phân tích thẳng thắn và khách quan các mặt hạn chế thực nghiệm còn tồn tại.</w:t>
      </w:r>
    </w:p>
    <w:p>
      <w:pPr>
        <w:pStyle w:val="ListBullet"/>
        <w:spacing w:before="20" w:after="60" w:lineRule="auto" w:line="276"/>
        <w:jc w:val="both"/>
      </w:pPr>
      <w:r>
        <w:rPr>
          <w:rFonts w:ascii="Times New Roman" w:hAnsi="Times New Roman"/>
          <w:b/>
          <w:color w:val="1E293B"/>
          <w:sz w:val="24"/>
        </w:rPr>
        <w:t>Mục tiêu 5:</w:t>
      </w:r>
      <w:r>
        <w:rPr>
          <w:rFonts w:ascii="Times New Roman" w:hAnsi="Times New Roman"/>
          <w:color w:val="1E293B"/>
          <w:sz w:val="24"/>
        </w:rPr>
        <w:t xml:space="preserve"> Hoàn thiện đóng gói giải pháp thành sản phẩm ứng dụng hoàn chỉnh 'RetinaGuard AI' gồm Backend FastAPI REST API, Frontend React trực quan và thiết lập đường hầm Cloudflare Tunneling công khai phục vụ kiểm thử từ xa của GVHD và Hội đồng chấm khóa luận.</w:t>
      </w:r>
    </w:p>
    <w:p>
      <w:pPr>
        <w:keepNext/>
        <w:spacing w:before="320" w:after="120"/>
      </w:pPr>
      <w:r>
        <w:rPr>
          <w:rFonts w:ascii="Times New Roman" w:hAnsi="Times New Roman"/>
          <w:b/>
          <w:color w:val="102C57"/>
          <w:sz w:val="27"/>
        </w:rPr>
        <w:t>2. TỔNG HỢP KẾT QUẢ THỰC NGHIỆM MÔ HÌNH CỦA NHÓM TRONG TUẦN</w:t>
      </w:r>
    </w:p>
    <w:p>
      <w:pPr>
        <w:keepNext/>
        <w:spacing w:before="240" w:after="80"/>
      </w:pPr>
      <w:r>
        <w:rPr>
          <w:rFonts w:ascii="Times New Roman" w:hAnsi="Times New Roman"/>
          <w:b/>
          <w:color w:val="2563EB"/>
          <w:sz w:val="25"/>
        </w:rPr>
        <w:t>2.1. Cải tiến kỹ thuật trên Notebook 'klcn-resnet50-baseline-part2'</w:t>
      </w:r>
    </w:p>
    <w:p>
      <w:pPr>
        <w:spacing w:before="40" w:after="80" w:lineRule="auto" w:line="288"/>
        <w:jc w:val="both"/>
      </w:pPr>
      <w:r>
        <w:rPr>
          <w:rFonts w:ascii="Times New Roman" w:hAnsi="Times New Roman"/>
          <w:i w:val="0"/>
          <w:color w:val="1E293B"/>
          <w:sz w:val="24"/>
        </w:rPr>
        <w:t>Trên môi trường máy chủ Kaggle trang bị 2x Nvidia Tesla T4 GPU, nhóm đã hoàn thiện triển khai phiên bản nâng cấp của notebook 'klcn-resnet50-baseline-part2' với chuỗi 4 giải pháp kỹ thuật có tính đột phá cao:</w:t>
      </w:r>
    </w:p>
    <w:p>
      <w:pPr>
        <w:pStyle w:val="ListBullet"/>
        <w:spacing w:before="20" w:after="60" w:lineRule="auto" w:line="276"/>
        <w:jc w:val="both"/>
      </w:pPr>
      <w:r>
        <w:rPr>
          <w:rFonts w:ascii="Times New Roman" w:hAnsi="Times New Roman"/>
          <w:b/>
          <w:color w:val="1E293B"/>
          <w:sz w:val="24"/>
        </w:rPr>
        <w:t>1. Tiền xử lý Ben Graham độ phân giải cao (384x384 &amp; 512x512):</w:t>
      </w:r>
      <w:r>
        <w:rPr>
          <w:rFonts w:ascii="Times New Roman" w:hAnsi="Times New Roman"/>
          <w:color w:val="1E293B"/>
          <w:sz w:val="24"/>
        </w:rPr>
        <w:t xml:space="preserve"> Tổn thương sớm nhất của DR là các vi phình mạch mao mạch (Microaneurysms) có đường kính chỉ từ 10 đến 30 micromet, tương đương 2 đến 5 pixel trên ảnh chụp quang học. Nếu nén ảnh xuống kích thước 224x224 thông thường, toàn bộ vi tổn thương này sẽ bị triệt tiêu do hiện tượng nội suy co ảnh. Nhóm đã mở rộng độ phân giải lên 384x384 (cho ViT v5.2) và 512x512 (cho ViT v5.3), kết hợp tách kênh xanh lá (Green Channel CLAHE) và trừ trung bình màu cục bộ theo công thức Ben Graham: I_processed = 4*I_orig - 4*GaussianBlur(I_orig, sigma=10) + 128.</w:t>
      </w:r>
    </w:p>
    <w:p>
      <w:pPr>
        <w:pStyle w:val="ListBullet"/>
        <w:spacing w:before="20" w:after="60" w:lineRule="auto" w:line="276"/>
        <w:jc w:val="both"/>
      </w:pPr>
      <w:r>
        <w:rPr>
          <w:rFonts w:ascii="Times New Roman" w:hAnsi="Times New Roman"/>
          <w:b/>
          <w:color w:val="1E293B"/>
          <w:sz w:val="24"/>
        </w:rPr>
        <w:t>2. Hàm mất mát làm mềm trọng số phân lớp (Smoothed Weighted Cross-Entropy Loss):</w:t>
      </w:r>
      <w:r>
        <w:rPr>
          <w:rFonts w:ascii="Times New Roman" w:hAnsi="Times New Roman"/>
          <w:color w:val="1E293B"/>
          <w:sz w:val="24"/>
        </w:rPr>
        <w:t xml:space="preserve"> Bộ dữ liệu EyePACS có sự phân bổ lệch cực kỳ khốc liệt giữa Lớp 0 (73.48%) và Lớp 4 (2.02%). Việc sử dụng trọng số nghịch đảo tuyến tính thông thường sẽ làm trọng số Lớp 4 gấp 36.5 lần Lớp 0, gây bùng nổ gradient và làm sụp đổ độ đặc hiệu. Nhóm áp dụng căn bậc hai làm mềm: w_c = sqrt(N_total / (C * N_c)), giúp thu hẹp tỷ lệ chênh lệch xuống xấp xỉ 6.0 lần, kết hợp nhãn làm mịn Label Smoothing (epsilon = 0.1).</w:t>
      </w:r>
    </w:p>
    <w:p>
      <w:pPr>
        <w:pStyle w:val="ListBullet"/>
        <w:spacing w:before="20" w:after="60" w:lineRule="auto" w:line="276"/>
        <w:jc w:val="both"/>
      </w:pPr>
      <w:r>
        <w:rPr>
          <w:rFonts w:ascii="Times New Roman" w:hAnsi="Times New Roman"/>
          <w:b/>
          <w:color w:val="1E293B"/>
          <w:sz w:val="24"/>
        </w:rPr>
        <w:t>3. Exponential Moving Average (EMA, decay=0.999):</w:t>
      </w:r>
      <w:r>
        <w:rPr>
          <w:rFonts w:ascii="Times New Roman" w:hAnsi="Times New Roman"/>
          <w:color w:val="1E293B"/>
          <w:sz w:val="24"/>
        </w:rPr>
        <w:t xml:space="preserve"> Nhóm tích hợp kỹ thuật duy trì bản sao trọng số di động ModelEMA (Exponential Moving Average) với hệ số suy giảm decay = 0.999. Cơ chế này hoạt động như một bộ lọc thông thấp (low-pass filter) làm phẳng bề mặt tối ưu của hàm mất mát, triệt tiêu dao động giữa các mini-batch và tăng cường khả năng tổng quát hóa, tạo ra checkpoint 'vit_b16_wce_best_ben384_v52_ema.pth' đạt QWK 0.7215.</w:t>
      </w:r>
    </w:p>
    <w:p>
      <w:pPr>
        <w:pStyle w:val="ListBullet"/>
        <w:spacing w:before="20" w:after="60" w:lineRule="auto" w:line="276"/>
        <w:jc w:val="both"/>
      </w:pPr>
      <w:r>
        <w:rPr>
          <w:rFonts w:ascii="Times New Roman" w:hAnsi="Times New Roman"/>
          <w:b/>
          <w:color w:val="1E293B"/>
          <w:sz w:val="24"/>
        </w:rPr>
        <w:t>4. Tinh chỉnh ngưỡng phân vị sau huấn luyện (Post-hoc Threshold Tuning):</w:t>
      </w:r>
      <w:r>
        <w:rPr>
          <w:rFonts w:ascii="Times New Roman" w:hAnsi="Times New Roman"/>
          <w:color w:val="1E293B"/>
          <w:sz w:val="24"/>
        </w:rPr>
        <w:t xml:space="preserve"> Thang đo y tế QWK phạt sai số bậc hai theo khoảng cách cấp bệnh. Việc áp dụng các ngưỡng cắt mặc định [0.5, 1.5, 2.5, 3.5] trên xác suất liên tục S = sum(c * P(c)) là rào cản toán học. Nhóm xây dựng module OptimizedRounder sử dụng thuật toán tối ưu đa biến Nelder-Mead Simplex tìm bộ ngưỡng tối ưu [0.582, 1.614, 2.485, 3.320] trực tiếp trên tập Validation, giúp gia tăng ngay lập tức chỉ số QWK từ 0.7280 lên 0.7350 mà không làm tăng thêm chi phí tính toán khi suy luận.</w:t>
      </w:r>
    </w:p>
    <w:p>
      <w:pPr>
        <w:spacing w:before="40" w:after="80" w:lineRule="auto" w:line="288"/>
        <w:jc w:val="both"/>
      </w:pPr>
      <w:r>
        <w:rPr>
          <w:rFonts w:ascii="Times New Roman" w:hAnsi="Times New Roman"/>
          <w:i w:val="0"/>
          <w:color w:val="1E293B"/>
          <w:sz w:val="24"/>
        </w:rPr>
        <w:t>Bảng 2.1 dưới đây thể hiện tiến trình huấn luyện chi tiết của mô hình ResNet-50 Baseline qua 10 epochs thực nghiệm trên Kaggle:</w:t>
      </w:r>
    </w:p>
    <w:tbl>
      <w:tblPr>
        <w:tblW w:type="auto" w:w="0"/>
        <w:jc w:val="center"/>
        <w:tblLook w:firstColumn="1" w:firstRow="1" w:lastColumn="0" w:lastRow="0" w:noHBand="0" w:noVBand="1" w:val="04A0"/>
      </w:tblPr>
      <w:tblGrid>
        <w:gridCol w:w="1020"/>
        <w:gridCol w:w="1247"/>
        <w:gridCol w:w="1247"/>
        <w:gridCol w:w="1304"/>
        <w:gridCol w:w="1304"/>
        <w:gridCol w:w="2381"/>
      </w:tblGrid>
      <w:tr>
        <w:trPr>
          <w:tblHeader/>
          <w:cantSplit/>
        </w:trPr>
        <w:tc>
          <w:tcPr>
            <w:tcW w:type="dxa" w:w="1020"/>
            <w:shd w:fill="102C57"/>
            <w:tcBorders>
              <w:top w:val="single" w:sz="4" w:space="0" w:color="CBD5E1"/>
              <w:bottom w:val="single" w:sz="4" w:space="0" w:color="CBD5E1"/>
              <w:left w:val="single" w:sz="4" w:space="0" w:color="CBD5E1"/>
              <w:right w:val="single" w:sz="4" w:space="0" w:color="CBD5E1"/>
            </w:tcBorders>
            <w:tcMar>
              <w:top w:w="100" w:type="dxa"/>
              <w:bottom w:w="100" w:type="dxa"/>
              <w:left w:w="60" w:type="dxa"/>
              <w:right w:w="60" w:type="dxa"/>
            </w:tcMar>
          </w:tcPr>
          <w:p>
            <w:pPr>
              <w:jc w:val="center"/>
            </w:pPr>
            <w:r>
              <w:rPr>
                <w:rFonts w:ascii="Times New Roman" w:hAnsi="Times New Roman"/>
                <w:b/>
                <w:color w:val="FFFFFF"/>
                <w:sz w:val="19"/>
              </w:rPr>
              <w:t>Epoch</w:t>
            </w:r>
          </w:p>
        </w:tc>
        <w:tc>
          <w:tcPr>
            <w:tcW w:type="dxa" w:w="1247"/>
            <w:shd w:fill="102C57"/>
            <w:tcBorders>
              <w:top w:val="single" w:sz="4" w:space="0" w:color="CBD5E1"/>
              <w:bottom w:val="single" w:sz="4" w:space="0" w:color="CBD5E1"/>
              <w:left w:val="single" w:sz="4" w:space="0" w:color="CBD5E1"/>
              <w:right w:val="single" w:sz="4" w:space="0" w:color="CBD5E1"/>
            </w:tcBorders>
            <w:tcMar>
              <w:top w:w="100" w:type="dxa"/>
              <w:bottom w:w="100" w:type="dxa"/>
              <w:left w:w="60" w:type="dxa"/>
              <w:right w:w="60" w:type="dxa"/>
            </w:tcMar>
          </w:tcPr>
          <w:p>
            <w:pPr>
              <w:jc w:val="center"/>
            </w:pPr>
            <w:r>
              <w:rPr>
                <w:rFonts w:ascii="Times New Roman" w:hAnsi="Times New Roman"/>
                <w:b/>
                <w:color w:val="FFFFFF"/>
                <w:sz w:val="19"/>
              </w:rPr>
              <w:t>Val Loss</w:t>
            </w:r>
          </w:p>
        </w:tc>
        <w:tc>
          <w:tcPr>
            <w:tcW w:type="dxa" w:w="1247"/>
            <w:shd w:fill="102C57"/>
            <w:tcBorders>
              <w:top w:val="single" w:sz="4" w:space="0" w:color="CBD5E1"/>
              <w:bottom w:val="single" w:sz="4" w:space="0" w:color="CBD5E1"/>
              <w:left w:val="single" w:sz="4" w:space="0" w:color="CBD5E1"/>
              <w:right w:val="single" w:sz="4" w:space="0" w:color="CBD5E1"/>
            </w:tcBorders>
            <w:tcMar>
              <w:top w:w="100" w:type="dxa"/>
              <w:bottom w:w="100" w:type="dxa"/>
              <w:left w:w="60" w:type="dxa"/>
              <w:right w:w="60" w:type="dxa"/>
            </w:tcMar>
          </w:tcPr>
          <w:p>
            <w:pPr>
              <w:jc w:val="center"/>
            </w:pPr>
            <w:r>
              <w:rPr>
                <w:rFonts w:ascii="Times New Roman" w:hAnsi="Times New Roman"/>
                <w:b/>
                <w:color w:val="FFFFFF"/>
                <w:sz w:val="19"/>
              </w:rPr>
              <w:t>Val Accuracy</w:t>
            </w:r>
          </w:p>
        </w:tc>
        <w:tc>
          <w:tcPr>
            <w:tcW w:type="dxa" w:w="1304"/>
            <w:shd w:fill="102C57"/>
            <w:tcBorders>
              <w:top w:val="single" w:sz="4" w:space="0" w:color="CBD5E1"/>
              <w:bottom w:val="single" w:sz="4" w:space="0" w:color="CBD5E1"/>
              <w:left w:val="single" w:sz="4" w:space="0" w:color="CBD5E1"/>
              <w:right w:val="single" w:sz="4" w:space="0" w:color="CBD5E1"/>
            </w:tcBorders>
            <w:tcMar>
              <w:top w:w="100" w:type="dxa"/>
              <w:bottom w:w="100" w:type="dxa"/>
              <w:left w:w="60" w:type="dxa"/>
              <w:right w:w="60" w:type="dxa"/>
            </w:tcMar>
          </w:tcPr>
          <w:p>
            <w:pPr>
              <w:jc w:val="center"/>
            </w:pPr>
            <w:r>
              <w:rPr>
                <w:rFonts w:ascii="Times New Roman" w:hAnsi="Times New Roman"/>
                <w:b/>
                <w:color w:val="FFFFFF"/>
                <w:sz w:val="19"/>
              </w:rPr>
              <w:t>Val Macro-F1</w:t>
            </w:r>
          </w:p>
        </w:tc>
        <w:tc>
          <w:tcPr>
            <w:tcW w:type="dxa" w:w="1304"/>
            <w:shd w:fill="102C57"/>
            <w:tcBorders>
              <w:top w:val="single" w:sz="4" w:space="0" w:color="CBD5E1"/>
              <w:bottom w:val="single" w:sz="4" w:space="0" w:color="CBD5E1"/>
              <w:left w:val="single" w:sz="4" w:space="0" w:color="CBD5E1"/>
              <w:right w:val="single" w:sz="4" w:space="0" w:color="CBD5E1"/>
            </w:tcBorders>
            <w:tcMar>
              <w:top w:w="100" w:type="dxa"/>
              <w:bottom w:w="100" w:type="dxa"/>
              <w:left w:w="60" w:type="dxa"/>
              <w:right w:w="60" w:type="dxa"/>
            </w:tcMar>
          </w:tcPr>
          <w:p>
            <w:pPr>
              <w:jc w:val="center"/>
            </w:pPr>
            <w:r>
              <w:rPr>
                <w:rFonts w:ascii="Times New Roman" w:hAnsi="Times New Roman"/>
                <w:b/>
                <w:color w:val="FFFFFF"/>
                <w:sz w:val="19"/>
              </w:rPr>
              <w:t>Val QWK</w:t>
            </w:r>
          </w:p>
        </w:tc>
        <w:tc>
          <w:tcPr>
            <w:tcW w:type="dxa" w:w="2381"/>
            <w:shd w:fill="102C57"/>
            <w:tcBorders>
              <w:top w:val="single" w:sz="4" w:space="0" w:color="CBD5E1"/>
              <w:bottom w:val="single" w:sz="4" w:space="0" w:color="CBD5E1"/>
              <w:left w:val="single" w:sz="4" w:space="0" w:color="CBD5E1"/>
              <w:right w:val="single" w:sz="4" w:space="0" w:color="CBD5E1"/>
            </w:tcBorders>
            <w:tcMar>
              <w:top w:w="100" w:type="dxa"/>
              <w:bottom w:w="100" w:type="dxa"/>
              <w:left w:w="60" w:type="dxa"/>
              <w:right w:w="60" w:type="dxa"/>
            </w:tcMar>
          </w:tcPr>
          <w:p>
            <w:pPr>
              <w:jc w:val="center"/>
            </w:pPr>
            <w:r>
              <w:rPr>
                <w:rFonts w:ascii="Times New Roman" w:hAnsi="Times New Roman"/>
                <w:b/>
                <w:color w:val="FFFFFF"/>
                <w:sz w:val="19"/>
              </w:rPr>
              <w:t>Ghi chú tiến trình hội tụ</w:t>
            </w:r>
          </w:p>
        </w:tc>
      </w:tr>
      <w:tr>
        <w:trPr>
          <w:cantSplit/>
        </w:trPr>
        <w:tc>
          <w:tcPr>
            <w:tcW w:type="dxa" w:w="1020"/>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Epoch 1</w:t>
            </w:r>
          </w:p>
        </w:tc>
        <w:tc>
          <w:tcPr>
            <w:tcW w:type="dxa" w:w="124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0.6950</w:t>
            </w:r>
          </w:p>
        </w:tc>
        <w:tc>
          <w:tcPr>
            <w:tcW w:type="dxa" w:w="124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73.1%</w:t>
            </w:r>
          </w:p>
        </w:tc>
        <w:tc>
          <w:tcPr>
            <w:tcW w:type="dxa" w:w="1304"/>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0.3742</w:t>
            </w:r>
          </w:p>
        </w:tc>
        <w:tc>
          <w:tcPr>
            <w:tcW w:type="dxa" w:w="1304"/>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0.4598</w:t>
            </w:r>
          </w:p>
        </w:tc>
        <w:tc>
          <w:tcPr>
            <w:tcW w:type="dxa" w:w="2381"/>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left"/>
            </w:pPr>
            <w:r>
              <w:rPr>
                <w:rFonts w:ascii="Times New Roman" w:hAnsi="Times New Roman"/>
                <w:color w:val="1E293B"/>
                <w:sz w:val="18"/>
              </w:rPr>
              <w:t>Khởi tạo Transfer Learning từ ImageNet-1K</w:t>
            </w:r>
          </w:p>
        </w:tc>
      </w:tr>
      <w:tr>
        <w:trPr>
          <w:cantSplit/>
        </w:trPr>
        <w:tc>
          <w:tcPr>
            <w:tcW w:type="dxa" w:w="1020"/>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Epoch 2</w:t>
            </w:r>
          </w:p>
        </w:tc>
        <w:tc>
          <w:tcPr>
            <w:tcW w:type="dxa" w:w="124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0.6091</w:t>
            </w:r>
          </w:p>
        </w:tc>
        <w:tc>
          <w:tcPr>
            <w:tcW w:type="dxa" w:w="124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75.4%</w:t>
            </w:r>
          </w:p>
        </w:tc>
        <w:tc>
          <w:tcPr>
            <w:tcW w:type="dxa" w:w="1304"/>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0.4186</w:t>
            </w:r>
          </w:p>
        </w:tc>
        <w:tc>
          <w:tcPr>
            <w:tcW w:type="dxa" w:w="1304"/>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0.5623</w:t>
            </w:r>
          </w:p>
        </w:tc>
        <w:tc>
          <w:tcPr>
            <w:tcW w:type="dxa" w:w="2381"/>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left"/>
            </w:pPr>
            <w:r>
              <w:rPr>
                <w:rFonts w:ascii="Times New Roman" w:hAnsi="Times New Roman"/>
                <w:color w:val="1E293B"/>
                <w:sz w:val="18"/>
              </w:rPr>
              <w:t>Bắt đầu học các đặc trưng vi thể võng mạc</w:t>
            </w:r>
          </w:p>
        </w:tc>
      </w:tr>
      <w:tr>
        <w:trPr>
          <w:cantSplit/>
        </w:trPr>
        <w:tc>
          <w:tcPr>
            <w:tcW w:type="dxa" w:w="1020"/>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Epoch 3</w:t>
            </w:r>
          </w:p>
        </w:tc>
        <w:tc>
          <w:tcPr>
            <w:tcW w:type="dxa" w:w="124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0.5895</w:t>
            </w:r>
          </w:p>
        </w:tc>
        <w:tc>
          <w:tcPr>
            <w:tcW w:type="dxa" w:w="124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76.8%</w:t>
            </w:r>
          </w:p>
        </w:tc>
        <w:tc>
          <w:tcPr>
            <w:tcW w:type="dxa" w:w="1304"/>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0.4737</w:t>
            </w:r>
          </w:p>
        </w:tc>
        <w:tc>
          <w:tcPr>
            <w:tcW w:type="dxa" w:w="1304"/>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0.6332</w:t>
            </w:r>
          </w:p>
        </w:tc>
        <w:tc>
          <w:tcPr>
            <w:tcW w:type="dxa" w:w="2381"/>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left"/>
            </w:pPr>
            <w:r>
              <w:rPr>
                <w:rFonts w:ascii="Times New Roman" w:hAnsi="Times New Roman"/>
                <w:color w:val="1E293B"/>
                <w:sz w:val="18"/>
              </w:rPr>
              <w:t>Tăng tốc độ hội tụ và giảm độ lệch dự đoán</w:t>
            </w:r>
          </w:p>
        </w:tc>
      </w:tr>
      <w:tr>
        <w:trPr>
          <w:cantSplit/>
        </w:trPr>
        <w:tc>
          <w:tcPr>
            <w:tcW w:type="dxa" w:w="1020"/>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Epoch 4</w:t>
            </w:r>
          </w:p>
        </w:tc>
        <w:tc>
          <w:tcPr>
            <w:tcW w:type="dxa" w:w="124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0.5807</w:t>
            </w:r>
          </w:p>
        </w:tc>
        <w:tc>
          <w:tcPr>
            <w:tcW w:type="dxa" w:w="124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77.2%</w:t>
            </w:r>
          </w:p>
        </w:tc>
        <w:tc>
          <w:tcPr>
            <w:tcW w:type="dxa" w:w="1304"/>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0.4501</w:t>
            </w:r>
          </w:p>
        </w:tc>
        <w:tc>
          <w:tcPr>
            <w:tcW w:type="dxa" w:w="1304"/>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0.6596</w:t>
            </w:r>
          </w:p>
        </w:tc>
        <w:tc>
          <w:tcPr>
            <w:tcW w:type="dxa" w:w="2381"/>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left"/>
            </w:pPr>
            <w:r>
              <w:rPr>
                <w:rFonts w:ascii="Times New Roman" w:hAnsi="Times New Roman"/>
                <w:color w:val="1E293B"/>
                <w:sz w:val="18"/>
              </w:rPr>
              <w:t>QWK vượt ngưỡng 0.65</w:t>
            </w:r>
          </w:p>
        </w:tc>
      </w:tr>
      <w:tr>
        <w:trPr>
          <w:cantSplit/>
        </w:trPr>
        <w:tc>
          <w:tcPr>
            <w:tcW w:type="dxa" w:w="1020"/>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Epoch 5</w:t>
            </w:r>
          </w:p>
        </w:tc>
        <w:tc>
          <w:tcPr>
            <w:tcW w:type="dxa" w:w="124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0.5664</w:t>
            </w:r>
          </w:p>
        </w:tc>
        <w:tc>
          <w:tcPr>
            <w:tcW w:type="dxa" w:w="124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77.9%</w:t>
            </w:r>
          </w:p>
        </w:tc>
        <w:tc>
          <w:tcPr>
            <w:tcW w:type="dxa" w:w="1304"/>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0.5085</w:t>
            </w:r>
          </w:p>
        </w:tc>
        <w:tc>
          <w:tcPr>
            <w:tcW w:type="dxa" w:w="1304"/>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0.6994</w:t>
            </w:r>
          </w:p>
        </w:tc>
        <w:tc>
          <w:tcPr>
            <w:tcW w:type="dxa" w:w="2381"/>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left"/>
            </w:pPr>
            <w:r>
              <w:rPr>
                <w:rFonts w:ascii="Times New Roman" w:hAnsi="Times New Roman"/>
                <w:color w:val="1E293B"/>
                <w:sz w:val="18"/>
              </w:rPr>
              <w:t>QWK tiệm cận mốc 0.70</w:t>
            </w:r>
          </w:p>
        </w:tc>
      </w:tr>
      <w:tr>
        <w:trPr>
          <w:cantSplit/>
        </w:trPr>
        <w:tc>
          <w:tcPr>
            <w:tcW w:type="dxa" w:w="1020"/>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Epoch 6</w:t>
            </w:r>
          </w:p>
        </w:tc>
        <w:tc>
          <w:tcPr>
            <w:tcW w:type="dxa" w:w="124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0.5698</w:t>
            </w:r>
          </w:p>
        </w:tc>
        <w:tc>
          <w:tcPr>
            <w:tcW w:type="dxa" w:w="124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77.5%</w:t>
            </w:r>
          </w:p>
        </w:tc>
        <w:tc>
          <w:tcPr>
            <w:tcW w:type="dxa" w:w="1304"/>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0.4236</w:t>
            </w:r>
          </w:p>
        </w:tc>
        <w:tc>
          <w:tcPr>
            <w:tcW w:type="dxa" w:w="1304"/>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0.6448</w:t>
            </w:r>
          </w:p>
        </w:tc>
        <w:tc>
          <w:tcPr>
            <w:tcW w:type="dxa" w:w="2381"/>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left"/>
            </w:pPr>
            <w:r>
              <w:rPr>
                <w:rFonts w:ascii="Times New Roman" w:hAnsi="Times New Roman"/>
                <w:color w:val="1E293B"/>
                <w:sz w:val="18"/>
              </w:rPr>
              <w:t>Dao động nhẹ quanh điểm yên ngựa</w:t>
            </w:r>
          </w:p>
        </w:tc>
      </w:tr>
      <w:tr>
        <w:trPr>
          <w:cantSplit/>
        </w:trPr>
        <w:tc>
          <w:tcPr>
            <w:tcW w:type="dxa" w:w="1020"/>
            <w:shd w:fill="EFF6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b/>
                <w:color w:val="102C57"/>
                <w:sz w:val="18"/>
              </w:rPr>
              <w:t>Epoch 7</w:t>
            </w:r>
          </w:p>
        </w:tc>
        <w:tc>
          <w:tcPr>
            <w:tcW w:type="dxa" w:w="1247"/>
            <w:shd w:fill="EFF6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b/>
                <w:color w:val="102C57"/>
                <w:sz w:val="18"/>
              </w:rPr>
              <w:t>0.5530*</w:t>
            </w:r>
          </w:p>
        </w:tc>
        <w:tc>
          <w:tcPr>
            <w:tcW w:type="dxa" w:w="1247"/>
            <w:shd w:fill="EFF6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b/>
                <w:color w:val="102C57"/>
                <w:sz w:val="18"/>
              </w:rPr>
              <w:t>78.4%*</w:t>
            </w:r>
          </w:p>
        </w:tc>
        <w:tc>
          <w:tcPr>
            <w:tcW w:type="dxa" w:w="1304"/>
            <w:shd w:fill="EFF6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b/>
                <w:color w:val="102C57"/>
                <w:sz w:val="18"/>
              </w:rPr>
              <w:t>0.5094*</w:t>
            </w:r>
          </w:p>
        </w:tc>
        <w:tc>
          <w:tcPr>
            <w:tcW w:type="dxa" w:w="1304"/>
            <w:shd w:fill="EFF6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b/>
                <w:color w:val="102C57"/>
                <w:sz w:val="18"/>
              </w:rPr>
              <w:t>0.6985</w:t>
            </w:r>
          </w:p>
        </w:tc>
        <w:tc>
          <w:tcPr>
            <w:tcW w:type="dxa" w:w="2381"/>
            <w:shd w:fill="EFF6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left"/>
            </w:pPr>
            <w:r>
              <w:rPr>
                <w:rFonts w:ascii="Times New Roman" w:hAnsi="Times New Roman"/>
                <w:b/>
                <w:color w:val="102C57"/>
                <w:sz w:val="18"/>
              </w:rPr>
              <w:t>Đạt điểm tối ưu Loss và Macro-F1 toàn cục</w:t>
            </w:r>
          </w:p>
        </w:tc>
      </w:tr>
      <w:tr>
        <w:trPr>
          <w:cantSplit/>
        </w:trPr>
        <w:tc>
          <w:tcPr>
            <w:tcW w:type="dxa" w:w="1020"/>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Epoch 8</w:t>
            </w:r>
          </w:p>
        </w:tc>
        <w:tc>
          <w:tcPr>
            <w:tcW w:type="dxa" w:w="124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0.5761</w:t>
            </w:r>
          </w:p>
        </w:tc>
        <w:tc>
          <w:tcPr>
            <w:tcW w:type="dxa" w:w="124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77.8%</w:t>
            </w:r>
          </w:p>
        </w:tc>
        <w:tc>
          <w:tcPr>
            <w:tcW w:type="dxa" w:w="1304"/>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0.4819</w:t>
            </w:r>
          </w:p>
        </w:tc>
        <w:tc>
          <w:tcPr>
            <w:tcW w:type="dxa" w:w="1304"/>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0.6812</w:t>
            </w:r>
          </w:p>
        </w:tc>
        <w:tc>
          <w:tcPr>
            <w:tcW w:type="dxa" w:w="2381"/>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left"/>
            </w:pPr>
            <w:r>
              <w:rPr>
                <w:rFonts w:ascii="Times New Roman" w:hAnsi="Times New Roman"/>
                <w:color w:val="1E293B"/>
                <w:sz w:val="18"/>
              </w:rPr>
              <w:t>Giảm tốc độ học qua ReduceLROnPlateau</w:t>
            </w:r>
          </w:p>
        </w:tc>
      </w:tr>
      <w:tr>
        <w:trPr>
          <w:cantSplit/>
        </w:trPr>
        <w:tc>
          <w:tcPr>
            <w:tcW w:type="dxa" w:w="1020"/>
            <w:shd w:fill="EFF6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b/>
                <w:color w:val="102C57"/>
                <w:sz w:val="18"/>
              </w:rPr>
              <w:t>Epoch 9</w:t>
            </w:r>
          </w:p>
        </w:tc>
        <w:tc>
          <w:tcPr>
            <w:tcW w:type="dxa" w:w="1247"/>
            <w:shd w:fill="EFF6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b/>
                <w:color w:val="102C57"/>
                <w:sz w:val="18"/>
              </w:rPr>
              <w:t>0.5579</w:t>
            </w:r>
          </w:p>
        </w:tc>
        <w:tc>
          <w:tcPr>
            <w:tcW w:type="dxa" w:w="1247"/>
            <w:shd w:fill="EFF6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b/>
                <w:color w:val="102C57"/>
                <w:sz w:val="18"/>
              </w:rPr>
              <w:t>78.1%</w:t>
            </w:r>
          </w:p>
        </w:tc>
        <w:tc>
          <w:tcPr>
            <w:tcW w:type="dxa" w:w="1304"/>
            <w:shd w:fill="EFF6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b/>
                <w:color w:val="102C57"/>
                <w:sz w:val="18"/>
              </w:rPr>
              <w:t>0.4967</w:t>
            </w:r>
          </w:p>
        </w:tc>
        <w:tc>
          <w:tcPr>
            <w:tcW w:type="dxa" w:w="1304"/>
            <w:shd w:fill="EFF6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b/>
                <w:color w:val="102C57"/>
                <w:sz w:val="18"/>
              </w:rPr>
              <w:t>0.7072*</w:t>
            </w:r>
          </w:p>
        </w:tc>
        <w:tc>
          <w:tcPr>
            <w:tcW w:type="dxa" w:w="2381"/>
            <w:shd w:fill="EFF6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left"/>
            </w:pPr>
            <w:r>
              <w:rPr>
                <w:rFonts w:ascii="Times New Roman" w:hAnsi="Times New Roman"/>
                <w:b/>
                <w:color w:val="102C57"/>
                <w:sz w:val="18"/>
              </w:rPr>
              <w:t>Đạt đỉnh QWK cao nhất (Checkpoint chính thức)</w:t>
            </w:r>
          </w:p>
        </w:tc>
      </w:tr>
      <w:tr>
        <w:trPr>
          <w:cantSplit/>
        </w:trPr>
        <w:tc>
          <w:tcPr>
            <w:tcW w:type="dxa" w:w="1020"/>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Epoch 10</w:t>
            </w:r>
          </w:p>
        </w:tc>
        <w:tc>
          <w:tcPr>
            <w:tcW w:type="dxa" w:w="124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0.5664</w:t>
            </w:r>
          </w:p>
        </w:tc>
        <w:tc>
          <w:tcPr>
            <w:tcW w:type="dxa" w:w="124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77.9%</w:t>
            </w:r>
          </w:p>
        </w:tc>
        <w:tc>
          <w:tcPr>
            <w:tcW w:type="dxa" w:w="1304"/>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0.4657</w:t>
            </w:r>
          </w:p>
        </w:tc>
        <w:tc>
          <w:tcPr>
            <w:tcW w:type="dxa" w:w="1304"/>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8"/>
              </w:rPr>
              <w:t>0.6872</w:t>
            </w:r>
          </w:p>
        </w:tc>
        <w:tc>
          <w:tcPr>
            <w:tcW w:type="dxa" w:w="2381"/>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left"/>
            </w:pPr>
            <w:r>
              <w:rPr>
                <w:rFonts w:ascii="Times New Roman" w:hAnsi="Times New Roman"/>
                <w:color w:val="1E293B"/>
                <w:sz w:val="18"/>
              </w:rPr>
              <w:t>Trạng thái bão hòa tham số</w:t>
            </w:r>
          </w:p>
        </w:tc>
      </w:tr>
    </w:tbl>
    <w:p>
      <w:pPr>
        <w:spacing w:before="80" w:after="200"/>
        <w:jc w:val="center"/>
      </w:pPr>
      <w:r>
        <w:rPr>
          <w:rFonts w:ascii="Times New Roman" w:hAnsi="Times New Roman"/>
          <w:b/>
          <w:i/>
          <w:color w:val="1E293B"/>
          <w:sz w:val="20"/>
        </w:rPr>
        <w:t>Bảng 2.1: Tiến trình huấn luyện thực nghiệm 10 Epochs của mô hình ResNet-50 Baseline trên Kaggle Dual T4 (* Điểm tối ưu)</w:t>
      </w:r>
    </w:p>
    <w:p>
      <w:pPr>
        <w:keepNext/>
        <w:spacing w:before="240" w:after="80"/>
      </w:pPr>
      <w:r>
        <w:rPr>
          <w:rFonts w:ascii="Times New Roman" w:hAnsi="Times New Roman"/>
          <w:b/>
          <w:color w:val="2563EB"/>
          <w:sz w:val="25"/>
        </w:rPr>
        <w:t>2.2. Huấn luyện thành công Cổng kiểm duyệt đầu vào Fundus Gate (MobileNetV3)</w:t>
      </w:r>
    </w:p>
    <w:p>
      <w:pPr>
        <w:spacing w:before="40" w:after="80" w:lineRule="auto" w:line="288"/>
        <w:jc w:val="both"/>
      </w:pPr>
      <w:r>
        <w:rPr>
          <w:rFonts w:ascii="Times New Roman" w:hAnsi="Times New Roman"/>
          <w:i w:val="0"/>
          <w:color w:val="1E293B"/>
          <w:sz w:val="24"/>
        </w:rPr>
        <w:t>Một đóng góp mang tính thực tiễn lâm sàng cao trong tuần này là nhóm đã hoàn thành huấn luyện mô hình phân loại nhị phân Fundus Gate đóng vai trò màng lọc bảo vệ đầu vào (Safety Input Gate) cho hệ thống RetinaGuard AI. Cổng kiểm duyệt tự động ngăn chặn tình trạng người dùng vô tình tải lên ảnh không phải đáy mắt (False Acceptance) — một hiểm họa sai sót y khoa nghiêm trọng mà hầu hết các nghiên cứu lý thuyết bỏ qua.</w:t>
      </w:r>
    </w:p>
    <w:p>
      <w:pPr>
        <w:pStyle w:val="ListBullet"/>
        <w:spacing w:before="20" w:after="60" w:lineRule="auto" w:line="276"/>
        <w:jc w:val="both"/>
      </w:pPr>
      <w:r>
        <w:rPr>
          <w:rFonts w:ascii="Times New Roman" w:hAnsi="Times New Roman"/>
          <w:b/>
          <w:color w:val="1E293B"/>
          <w:sz w:val="24"/>
        </w:rPr>
        <w:t>Kiến trúc mô hình và độ nhẹ:</w:t>
      </w:r>
      <w:r>
        <w:rPr>
          <w:rFonts w:ascii="Times New Roman" w:hAnsi="Times New Roman"/>
          <w:color w:val="1E293B"/>
          <w:sz w:val="24"/>
        </w:rPr>
        <w:t xml:space="preserve"> Sử dụng backbone MobileNetV3-Small siêu nhẹ (ImageNet Pretrained) kết hợp GlobalAveragePooling2D, Dropout(0.3) và Dense(1, sigmoid). Tổng số tham số chỉ vỏn vẹn 939,697 tham số. Dung lượng tệp cực kỳ tối ưu: Keras 9.78 MB, TFLite FP32 3.56 MB, và TFLite Float16 chỉ 1.82 MB.</w:t>
      </w:r>
    </w:p>
    <w:p>
      <w:pPr>
        <w:pStyle w:val="ListBullet"/>
        <w:spacing w:before="20" w:after="60" w:lineRule="auto" w:line="276"/>
        <w:jc w:val="both"/>
      </w:pPr>
      <w:r>
        <w:rPr>
          <w:rFonts w:ascii="Times New Roman" w:hAnsi="Times New Roman"/>
          <w:b/>
          <w:color w:val="1E293B"/>
          <w:sz w:val="24"/>
        </w:rPr>
        <w:t>Thiết kế dữ liệu và bộ kiểm thử thử thách (Challenge Set):</w:t>
      </w:r>
      <w:r>
        <w:rPr>
          <w:rFonts w:ascii="Times New Roman" w:hAnsi="Times New Roman"/>
          <w:color w:val="1E293B"/>
          <w:sz w:val="24"/>
        </w:rPr>
        <w:t xml:space="preserve"> Thiết kế cân bằng gồm 10,500 ảnh đáy mắt EyePACS (nhóm Dương) và 10,500 ảnh âm tính đa dạng từ 3 phân nhóm: Generic Negatives (xe cộ, phong cảnh, động vật), Medical Negatives (ảnh chụp cắt lớp OCT, X-quang phổi, MRI não) và Ocular Hard Negatives (vân mống mắt CASIA Iris, ảnh mắt ngoài, mi mắt, khe đèn giác mạc). Đặc biệt, tập Ocular Challenge Test gồm 900 ảnh mắt ngoài khó nhất được cách ly hoàn toàn, không tham gia vào quá trình huấn luyện và chọn ngưỡng.</w:t>
      </w:r>
    </w:p>
    <w:p>
      <w:pPr>
        <w:pStyle w:val="ListBullet"/>
        <w:spacing w:before="20" w:after="60" w:lineRule="auto" w:line="276"/>
        <w:jc w:val="both"/>
      </w:pPr>
      <w:r>
        <w:rPr>
          <w:rFonts w:ascii="Times New Roman" w:hAnsi="Times New Roman"/>
          <w:b/>
          <w:color w:val="1E293B"/>
          <w:sz w:val="24"/>
        </w:rPr>
        <w:t>Chỉ số định lượng vượt trội:</w:t>
      </w:r>
      <w:r>
        <w:rPr>
          <w:rFonts w:ascii="Times New Roman" w:hAnsi="Times New Roman"/>
          <w:color w:val="1E293B"/>
          <w:sz w:val="24"/>
        </w:rPr>
        <w:t xml:space="preserve"> Quét lưới 197 mốc ngưỡng xác lập ngưỡng cắt tối ưu tại tau* = 0.9650 với ràng buộc Recall &gt;= 95% và min(FPR). Kết quả trên tập Test độc lập (3,164 ảnh): Recall đạt 100.0% (1,588/1,588 ca đáy mắt được giữ lại an toàn, Zero False Rejection), Specificity đạt 99.87% (1,574/1,576 ca âm tính bị từ chối), Accuracy đạt 99.94%, AUC đạt 1.0000. Trên tập 900 ảnh Ocular Challenge cực khó, mô hình từ chối chính xác 899/900 ảnh, tỷ lệ chấp nhận nhầm chỉ 0.11%. Độ trễ suy luận trên CPU chỉ mất 11.4 ms/ảnh, hoàn toàn không gây trễ đối với trải nghiệm người dùng.</w:t>
      </w:r>
    </w:p>
    <w:tbl>
      <w:tblPr>
        <w:tblW w:type="auto" w:w="0"/>
        <w:jc w:val="center"/>
        <w:tblLook w:firstColumn="1" w:firstRow="1" w:lastColumn="0" w:lastRow="0" w:noHBand="0" w:noVBand="1" w:val="04A0"/>
      </w:tblPr>
      <w:tblGrid>
        <w:gridCol w:w="2551"/>
        <w:gridCol w:w="1984"/>
        <w:gridCol w:w="1984"/>
        <w:gridCol w:w="1984"/>
      </w:tblGrid>
      <w:tr>
        <w:trPr>
          <w:tblHeader/>
          <w:cantSplit/>
        </w:trPr>
        <w:tc>
          <w:tcPr>
            <w:tcW w:type="dxa" w:w="2551"/>
            <w:shd w:fill="102C57"/>
            <w:tcBorders>
              <w:top w:val="single" w:sz="4" w:space="0" w:color="CBD5E1"/>
              <w:bottom w:val="single" w:sz="4" w:space="0" w:color="CBD5E1"/>
              <w:left w:val="single" w:sz="4" w:space="0" w:color="CBD5E1"/>
              <w:right w:val="single" w:sz="4" w:space="0" w:color="CBD5E1"/>
            </w:tcBorders>
            <w:tcMar>
              <w:top w:w="100" w:type="dxa"/>
              <w:bottom w:w="100" w:type="dxa"/>
              <w:left w:w="80" w:type="dxa"/>
              <w:right w:w="80" w:type="dxa"/>
            </w:tcMar>
          </w:tcPr>
          <w:p>
            <w:pPr>
              <w:jc w:val="center"/>
            </w:pPr>
            <w:r>
              <w:rPr>
                <w:rFonts w:ascii="Times New Roman" w:hAnsi="Times New Roman"/>
                <w:b/>
                <w:color w:val="FFFFFF"/>
                <w:sz w:val="19"/>
              </w:rPr>
              <w:t>Thước đo đánh giá</w:t>
            </w:r>
          </w:p>
        </w:tc>
        <w:tc>
          <w:tcPr>
            <w:tcW w:type="dxa" w:w="1984"/>
            <w:shd w:fill="102C57"/>
            <w:tcBorders>
              <w:top w:val="single" w:sz="4" w:space="0" w:color="CBD5E1"/>
              <w:bottom w:val="single" w:sz="4" w:space="0" w:color="CBD5E1"/>
              <w:left w:val="single" w:sz="4" w:space="0" w:color="CBD5E1"/>
              <w:right w:val="single" w:sz="4" w:space="0" w:color="CBD5E1"/>
            </w:tcBorders>
            <w:tcMar>
              <w:top w:w="100" w:type="dxa"/>
              <w:bottom w:w="100" w:type="dxa"/>
              <w:left w:w="80" w:type="dxa"/>
              <w:right w:w="80" w:type="dxa"/>
            </w:tcMar>
          </w:tcPr>
          <w:p>
            <w:pPr>
              <w:jc w:val="center"/>
            </w:pPr>
            <w:r>
              <w:rPr>
                <w:rFonts w:ascii="Times New Roman" w:hAnsi="Times New Roman"/>
                <w:b/>
                <w:color w:val="FFFFFF"/>
                <w:sz w:val="19"/>
              </w:rPr>
              <w:t>Tập Validation (3,133 ảnh)</w:t>
            </w:r>
          </w:p>
        </w:tc>
        <w:tc>
          <w:tcPr>
            <w:tcW w:type="dxa" w:w="1984"/>
            <w:shd w:fill="102C57"/>
            <w:tcBorders>
              <w:top w:val="single" w:sz="4" w:space="0" w:color="CBD5E1"/>
              <w:bottom w:val="single" w:sz="4" w:space="0" w:color="CBD5E1"/>
              <w:left w:val="single" w:sz="4" w:space="0" w:color="CBD5E1"/>
              <w:right w:val="single" w:sz="4" w:space="0" w:color="CBD5E1"/>
            </w:tcBorders>
            <w:tcMar>
              <w:top w:w="100" w:type="dxa"/>
              <w:bottom w:w="100" w:type="dxa"/>
              <w:left w:w="80" w:type="dxa"/>
              <w:right w:w="80" w:type="dxa"/>
            </w:tcMar>
          </w:tcPr>
          <w:p>
            <w:pPr>
              <w:jc w:val="center"/>
            </w:pPr>
            <w:r>
              <w:rPr>
                <w:rFonts w:ascii="Times New Roman" w:hAnsi="Times New Roman"/>
                <w:b/>
                <w:color w:val="FFFFFF"/>
                <w:sz w:val="19"/>
              </w:rPr>
              <w:t>Tập Test chuẩn (3,164 ảnh)</w:t>
            </w:r>
          </w:p>
        </w:tc>
        <w:tc>
          <w:tcPr>
            <w:tcW w:type="dxa" w:w="1984"/>
            <w:shd w:fill="102C57"/>
            <w:tcBorders>
              <w:top w:val="single" w:sz="4" w:space="0" w:color="CBD5E1"/>
              <w:bottom w:val="single" w:sz="4" w:space="0" w:color="CBD5E1"/>
              <w:left w:val="single" w:sz="4" w:space="0" w:color="CBD5E1"/>
              <w:right w:val="single" w:sz="4" w:space="0" w:color="CBD5E1"/>
            </w:tcBorders>
            <w:tcMar>
              <w:top w:w="100" w:type="dxa"/>
              <w:bottom w:w="100" w:type="dxa"/>
              <w:left w:w="80" w:type="dxa"/>
              <w:right w:w="80" w:type="dxa"/>
            </w:tcMar>
          </w:tcPr>
          <w:p>
            <w:pPr>
              <w:jc w:val="center"/>
            </w:pPr>
            <w:r>
              <w:rPr>
                <w:rFonts w:ascii="Times New Roman" w:hAnsi="Times New Roman"/>
                <w:b/>
                <w:color w:val="FFFFFF"/>
                <w:sz w:val="19"/>
              </w:rPr>
              <w:t>Ocular Challenge (900 ảnh)</w:t>
            </w:r>
          </w:p>
        </w:tc>
      </w:tr>
      <w:tr>
        <w:trPr>
          <w:cantSplit/>
        </w:trPr>
        <w:tc>
          <w:tcPr>
            <w:tcW w:type="dxa" w:w="2551"/>
            <w:shd w:fill="FFFFFF"/>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left"/>
            </w:pPr>
            <w:r>
              <w:rPr>
                <w:rFonts w:ascii="Times New Roman" w:hAnsi="Times New Roman"/>
                <w:b/>
                <w:color w:val="1E293B"/>
                <w:sz w:val="19"/>
              </w:rPr>
              <w:t>Độ nhạy / Recall (Sensitivity)</w:t>
            </w:r>
          </w:p>
        </w:tc>
        <w:tc>
          <w:tcPr>
            <w:tcW w:type="dxa" w:w="1984"/>
            <w:shd w:fill="FFFFFF"/>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100.00%</w:t>
            </w:r>
          </w:p>
        </w:tc>
        <w:tc>
          <w:tcPr>
            <w:tcW w:type="dxa" w:w="1984"/>
            <w:shd w:fill="FFFFFF"/>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100.00% (1,588 / 1,588)</w:t>
            </w:r>
          </w:p>
        </w:tc>
        <w:tc>
          <w:tcPr>
            <w:tcW w:type="dxa" w:w="1984"/>
            <w:shd w:fill="FFFFFF"/>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N/A (Tập thuần nhãn âm)</w:t>
            </w:r>
          </w:p>
        </w:tc>
      </w:tr>
      <w:tr>
        <w:trPr>
          <w:cantSplit/>
        </w:trPr>
        <w:tc>
          <w:tcPr>
            <w:tcW w:type="dxa" w:w="2551"/>
            <w:shd w:fill="F8FAFC"/>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left"/>
            </w:pPr>
            <w:r>
              <w:rPr>
                <w:rFonts w:ascii="Times New Roman" w:hAnsi="Times New Roman"/>
                <w:b/>
                <w:color w:val="1E293B"/>
                <w:sz w:val="19"/>
              </w:rPr>
              <w:t>Độ đặc hiệu / Specificity (TNR)</w:t>
            </w:r>
          </w:p>
        </w:tc>
        <w:tc>
          <w:tcPr>
            <w:tcW w:type="dxa" w:w="1984"/>
            <w:shd w:fill="F8FAFC"/>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100.00%</w:t>
            </w:r>
          </w:p>
        </w:tc>
        <w:tc>
          <w:tcPr>
            <w:tcW w:type="dxa" w:w="1984"/>
            <w:shd w:fill="F8FAFC"/>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99.87% (1,574 / 1,576)</w:t>
            </w:r>
          </w:p>
        </w:tc>
        <w:tc>
          <w:tcPr>
            <w:tcW w:type="dxa" w:w="1984"/>
            <w:shd w:fill="F8FAFC"/>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99.89% (899 / 900)</w:t>
            </w:r>
          </w:p>
        </w:tc>
      </w:tr>
      <w:tr>
        <w:trPr>
          <w:cantSplit/>
        </w:trPr>
        <w:tc>
          <w:tcPr>
            <w:tcW w:type="dxa" w:w="2551"/>
            <w:shd w:fill="FFFFFF"/>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left"/>
            </w:pPr>
            <w:r>
              <w:rPr>
                <w:rFonts w:ascii="Times New Roman" w:hAnsi="Times New Roman"/>
                <w:b/>
                <w:color w:val="1E293B"/>
                <w:sz w:val="19"/>
              </w:rPr>
              <w:t>Độ chính xác (Accuracy)</w:t>
            </w:r>
          </w:p>
        </w:tc>
        <w:tc>
          <w:tcPr>
            <w:tcW w:type="dxa" w:w="1984"/>
            <w:shd w:fill="FFFFFF"/>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100.00%</w:t>
            </w:r>
          </w:p>
        </w:tc>
        <w:tc>
          <w:tcPr>
            <w:tcW w:type="dxa" w:w="1984"/>
            <w:shd w:fill="FFFFFF"/>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99.94%</w:t>
            </w:r>
          </w:p>
        </w:tc>
        <w:tc>
          <w:tcPr>
            <w:tcW w:type="dxa" w:w="1984"/>
            <w:shd w:fill="FFFFFF"/>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99.89%</w:t>
            </w:r>
          </w:p>
        </w:tc>
      </w:tr>
      <w:tr>
        <w:trPr>
          <w:cantSplit/>
        </w:trPr>
        <w:tc>
          <w:tcPr>
            <w:tcW w:type="dxa" w:w="2551"/>
            <w:shd w:fill="F8FAFC"/>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left"/>
            </w:pPr>
            <w:r>
              <w:rPr>
                <w:rFonts w:ascii="Times New Roman" w:hAnsi="Times New Roman"/>
                <w:b/>
                <w:color w:val="1E293B"/>
                <w:sz w:val="19"/>
              </w:rPr>
              <w:t>Tỷ lệ chấp nhận nhầm (FPR)</w:t>
            </w:r>
          </w:p>
        </w:tc>
        <w:tc>
          <w:tcPr>
            <w:tcW w:type="dxa" w:w="1984"/>
            <w:shd w:fill="F8FAFC"/>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0.00%</w:t>
            </w:r>
          </w:p>
        </w:tc>
        <w:tc>
          <w:tcPr>
            <w:tcW w:type="dxa" w:w="1984"/>
            <w:shd w:fill="F8FAFC"/>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0.13% (Chỉ 2 ảnh lọt)</w:t>
            </w:r>
          </w:p>
        </w:tc>
        <w:tc>
          <w:tcPr>
            <w:tcW w:type="dxa" w:w="1984"/>
            <w:shd w:fill="F8FAFC"/>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0.11% (Duy nhất 1 ảnh lọt)</w:t>
            </w:r>
          </w:p>
        </w:tc>
      </w:tr>
      <w:tr>
        <w:trPr>
          <w:cantSplit/>
        </w:trPr>
        <w:tc>
          <w:tcPr>
            <w:tcW w:type="dxa" w:w="2551"/>
            <w:shd w:fill="FFFFFF"/>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left"/>
            </w:pPr>
            <w:r>
              <w:rPr>
                <w:rFonts w:ascii="Times New Roman" w:hAnsi="Times New Roman"/>
                <w:b/>
                <w:color w:val="1E293B"/>
                <w:sz w:val="19"/>
              </w:rPr>
              <w:t>Tỷ lệ bỏ sót ảnh đáy mắt (FNR)</w:t>
            </w:r>
          </w:p>
        </w:tc>
        <w:tc>
          <w:tcPr>
            <w:tcW w:type="dxa" w:w="1984"/>
            <w:shd w:fill="FFFFFF"/>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0.00%</w:t>
            </w:r>
          </w:p>
        </w:tc>
        <w:tc>
          <w:tcPr>
            <w:tcW w:type="dxa" w:w="1984"/>
            <w:shd w:fill="FFFFFF"/>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0.00% (Zero Ca bỏ sót)</w:t>
            </w:r>
          </w:p>
        </w:tc>
        <w:tc>
          <w:tcPr>
            <w:tcW w:type="dxa" w:w="1984"/>
            <w:shd w:fill="FFFFFF"/>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N/A</w:t>
            </w:r>
          </w:p>
        </w:tc>
      </w:tr>
      <w:tr>
        <w:trPr>
          <w:cantSplit/>
        </w:trPr>
        <w:tc>
          <w:tcPr>
            <w:tcW w:type="dxa" w:w="2551"/>
            <w:shd w:fill="F8FAFC"/>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left"/>
            </w:pPr>
            <w:r>
              <w:rPr>
                <w:rFonts w:ascii="Times New Roman" w:hAnsi="Times New Roman"/>
                <w:b/>
                <w:color w:val="1E293B"/>
                <w:sz w:val="19"/>
              </w:rPr>
              <w:t>Diện tích dưới đường cong ROC (AUC)</w:t>
            </w:r>
          </w:p>
        </w:tc>
        <w:tc>
          <w:tcPr>
            <w:tcW w:type="dxa" w:w="1984"/>
            <w:shd w:fill="F8FAFC"/>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1.0000</w:t>
            </w:r>
          </w:p>
        </w:tc>
        <w:tc>
          <w:tcPr>
            <w:tcW w:type="dxa" w:w="1984"/>
            <w:shd w:fill="F8FAFC"/>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1.0000</w:t>
            </w:r>
          </w:p>
        </w:tc>
        <w:tc>
          <w:tcPr>
            <w:tcW w:type="dxa" w:w="1984"/>
            <w:shd w:fill="F8FAFC"/>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N/A</w:t>
            </w:r>
          </w:p>
        </w:tc>
      </w:tr>
      <w:tr>
        <w:trPr>
          <w:cantSplit/>
        </w:trPr>
        <w:tc>
          <w:tcPr>
            <w:tcW w:type="dxa" w:w="2551"/>
            <w:shd w:fill="FFFFFF"/>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left"/>
            </w:pPr>
            <w:r>
              <w:rPr>
                <w:rFonts w:ascii="Times New Roman" w:hAnsi="Times New Roman"/>
                <w:b/>
                <w:color w:val="1E293B"/>
                <w:sz w:val="19"/>
              </w:rPr>
              <w:t>Độ trễ suy luận (CPU Intel Core i7)</w:t>
            </w:r>
          </w:p>
        </w:tc>
        <w:tc>
          <w:tcPr>
            <w:tcW w:type="dxa" w:w="1984"/>
            <w:shd w:fill="FFFFFF"/>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11.4 ms / ảnh</w:t>
            </w:r>
          </w:p>
        </w:tc>
        <w:tc>
          <w:tcPr>
            <w:tcW w:type="dxa" w:w="1984"/>
            <w:shd w:fill="FFFFFF"/>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11.4 ms / ảnh</w:t>
            </w:r>
          </w:p>
        </w:tc>
        <w:tc>
          <w:tcPr>
            <w:tcW w:type="dxa" w:w="1984"/>
            <w:shd w:fill="FFFFFF"/>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jc w:val="center"/>
            </w:pPr>
            <w:r>
              <w:rPr>
                <w:rFonts w:ascii="Times New Roman" w:hAnsi="Times New Roman"/>
                <w:color w:val="1E293B"/>
                <w:sz w:val="19"/>
              </w:rPr>
              <w:t>11.4 ms / ảnh</w:t>
            </w:r>
          </w:p>
        </w:tc>
      </w:tr>
    </w:tbl>
    <w:p>
      <w:pPr>
        <w:spacing w:before="80" w:after="200"/>
        <w:jc w:val="center"/>
      </w:pPr>
      <w:r>
        <w:rPr>
          <w:rFonts w:ascii="Times New Roman" w:hAnsi="Times New Roman"/>
          <w:b/>
          <w:i/>
          <w:color w:val="1E293B"/>
          <w:sz w:val="20"/>
        </w:rPr>
        <w:t>Bảng 2.2: Bảng chỉ số định lượng chính thức của Cổng kiểm duyệt đầu vào Fundus Gate (Ngưỡng tau* = 0.9650)</w:t>
      </w:r>
    </w:p>
    <w:p>
      <w:pPr>
        <w:keepNext/>
        <w:spacing w:before="240" w:after="80"/>
      </w:pPr>
      <w:r>
        <w:rPr>
          <w:rFonts w:ascii="Times New Roman" w:hAnsi="Times New Roman"/>
          <w:b/>
          <w:color w:val="2563EB"/>
          <w:sz w:val="25"/>
        </w:rPr>
        <w:t>2.3. Đột phá thực nghiệm: Mô hình thứ bậc lai (Hybrid Ordinal Loss) và ngăn chặn rò rỉ bệnh nhân ('eyepacs-bengraham-256-ordinal-optimized-14ep-early')</w:t>
      </w:r>
    </w:p>
    <w:p>
      <w:pPr>
        <w:spacing w:before="40" w:after="80" w:lineRule="auto" w:line="288"/>
        <w:jc w:val="both"/>
      </w:pPr>
      <w:r>
        <w:rPr>
          <w:rFonts w:ascii="Times New Roman" w:hAnsi="Times New Roman"/>
          <w:i w:val="0"/>
          <w:color w:val="1E293B"/>
          <w:sz w:val="24"/>
        </w:rPr>
        <w:t>Nhóm nghiên cứu đã mở rộng thực nghiệm trên môi trường Kaggle GPU với phiên bản tối ưu thứ bậc chuyên sâu 'eyepacs-bengraham-256-ordinal-optimized-14ep-early' nhằm giải quyết triệt để hai rào cản phương pháp luận then chốt trong chẩn đoán võng mạc y khoa quốc tế: rò rỉ dữ liệu giải phẫu và tính thứ bậc tự nhiên của bệnh:</w:t>
      </w:r>
    </w:p>
    <w:p>
      <w:pPr>
        <w:pStyle w:val="ListBullet"/>
        <w:spacing w:before="20" w:after="60" w:lineRule="auto" w:line="276"/>
        <w:jc w:val="both"/>
      </w:pPr>
      <w:r>
        <w:rPr>
          <w:rFonts w:ascii="Times New Roman" w:hAnsi="Times New Roman"/>
          <w:b/>
          <w:color w:val="1E293B"/>
          <w:sz w:val="24"/>
        </w:rPr>
        <w:t>1. Ngăn chặn triệt để rò rỉ dữ liệu bệnh nhân (Zero Patient Leakage):</w:t>
      </w:r>
      <w:r>
        <w:rPr>
          <w:rFonts w:ascii="Times New Roman" w:hAnsi="Times New Roman"/>
          <w:color w:val="1E293B"/>
          <w:sz w:val="24"/>
        </w:rPr>
        <w:t xml:space="preserve"> Nhóm triển khai kỹ thuật StratifiedGroupKFold(n_splits=5) phân cụm nghiêm ngặt theo mã định danh bệnh nhân (patient_id). Do mỗi bệnh nhân thường chụp ảnh cả hai mắt (trái và phải), việc chia tập ngẫu nhiên thông thường rất dễ phân tán hai mắt của cùng một người sang cả tập huấn luyện và tập kiểm định, dẫn đến rò rỉ đặc trưng sinh học giải phẫu (Data Leakage). Việc phân nhóm theo bệnh nhân đảm bảo tính trung thực học thuật và tính khách quan y sinh tuyệt đối (Zero Patient Leakage).</w:t>
      </w:r>
    </w:p>
    <w:p>
      <w:pPr>
        <w:pStyle w:val="ListBullet"/>
        <w:spacing w:before="20" w:after="60" w:lineRule="auto" w:line="276"/>
        <w:jc w:val="both"/>
      </w:pPr>
      <w:r>
        <w:rPr>
          <w:rFonts w:ascii="Times New Roman" w:hAnsi="Times New Roman"/>
          <w:b/>
          <w:color w:val="1E293B"/>
          <w:sz w:val="24"/>
        </w:rPr>
        <w:t>2. Hàm mất mát thứ bậc lai (Hybrid CE + EMD Loss):</w:t>
      </w:r>
      <w:r>
        <w:rPr>
          <w:rFonts w:ascii="Times New Roman" w:hAnsi="Times New Roman"/>
          <w:color w:val="1E293B"/>
          <w:sz w:val="24"/>
        </w:rPr>
        <w:t xml:space="preserve"> Bản chất lâm sàng của bệnh võng mạc đái tháo đường là có thứ bậc nghiêm ngặt (0: Bình thường &lt; 1: Nhẹ &lt; 2: Trung bình &lt; 3: Nặng &lt; 4: Tăng sinh). Nhóm thiết kế hàm mất mát thứ bậc lai Loss = 0.65 * WCE + 0.35 * EMD (Earth Mover's Distance / 1D Wasserstein Loss). EMD tính toán khoảng cách diện tích giữa phân phối xác suất tích lũy (CDF) của dự đoán và nhãn thực tế: EMD = sum(|pred_cdf - target_cdf|) / (C - 1). Hàm tổn thất này trừng phạt lũy tiến các lỗi sai lệch nhiều cấp độ lâm sàng, đồng bộ hoàn hảo với bản chất của thang đo Quadratic Weighted Kappa.</w:t>
      </w:r>
    </w:p>
    <w:p>
      <w:pPr>
        <w:pStyle w:val="ListBullet"/>
        <w:spacing w:before="20" w:after="60" w:lineRule="auto" w:line="276"/>
        <w:jc w:val="both"/>
      </w:pPr>
      <w:r>
        <w:rPr>
          <w:rFonts w:ascii="Times New Roman" w:hAnsi="Times New Roman"/>
          <w:b/>
          <w:color w:val="1E293B"/>
          <w:sz w:val="24"/>
        </w:rPr>
        <w:t>3. Cơ chế tăng tốc bộ nhớ đệm đĩa (Pre-cached Disk Storage):</w:t>
      </w:r>
      <w:r>
        <w:rPr>
          <w:rFonts w:ascii="Times New Roman" w:hAnsi="Times New Roman"/>
          <w:color w:val="1E293B"/>
          <w:sz w:val="24"/>
        </w:rPr>
        <w:t xml:space="preserve"> Toàn bộ tập dữ liệu ảnh sau khi xử lý Ben Graham ở kích thước 256x256 được lưu bộ đệm sẵn trên đĩa (Disk Caching), giúp tốc độ nạp dữ liệu tăng vọt lên ~8.3 it/s, rút ngắn thời gian huấn luyện mỗi epoch xuống còn 4-7 phút trên Kaggle GPU.</w:t>
      </w:r>
    </w:p>
    <w:p>
      <w:pPr>
        <w:pStyle w:val="ListBullet"/>
        <w:spacing w:before="20" w:after="60" w:lineRule="auto" w:line="276"/>
        <w:jc w:val="both"/>
      </w:pPr>
      <w:r>
        <w:rPr>
          <w:rFonts w:ascii="Times New Roman" w:hAnsi="Times New Roman"/>
          <w:b/>
          <w:color w:val="1E293B"/>
          <w:sz w:val="24"/>
        </w:rPr>
        <w:t>4. Hiệu năng mô hình đơn lẻ kèm TTA:</w:t>
      </w:r>
      <w:r>
        <w:rPr>
          <w:rFonts w:ascii="Times New Roman" w:hAnsi="Times New Roman"/>
          <w:color w:val="1E293B"/>
          <w:sz w:val="24"/>
        </w:rPr>
        <w:t xml:space="preserve"> Tích hợp Test-Time Augmentation (TTA) nhẹ nhàng bằng phép lật ngang (Horizontal Flip) bảo toàn giải phẫu, áp dụng Early Stopping tại Epoch 20 (Best checkpoint tại Epoch 15): ResNet-50 đạt Accuracy 74.22%, Macro-F1 0.4904, QWK 0.6352; ViT-B/16 đạt Accuracy 78.54%, Macro-F1 0.5335, QWK 0.6972.</w:t>
      </w:r>
    </w:p>
    <w:p>
      <w:pPr>
        <w:pStyle w:val="ListBullet"/>
        <w:spacing w:before="20" w:after="60" w:lineRule="auto" w:line="276"/>
        <w:jc w:val="both"/>
      </w:pPr>
      <w:r>
        <w:rPr>
          <w:rFonts w:ascii="Times New Roman" w:hAnsi="Times New Roman"/>
          <w:b/>
          <w:color w:val="1E293B"/>
          <w:sz w:val="24"/>
        </w:rPr>
        <w:t>5. Thiết lập Kỷ lục QWK mới (0.7428) qua Ensemble &amp; Ordinal Thresholds:</w:t>
      </w:r>
      <w:r>
        <w:rPr>
          <w:rFonts w:ascii="Times New Roman" w:hAnsi="Times New Roman"/>
          <w:color w:val="1E293B"/>
          <w:sz w:val="24"/>
        </w:rPr>
        <w:t xml:space="preserve"> Khi phối hợp hai mô hình với tỷ lệ trọng số tối ưu (ResNet 0.40 + ViT 0.60): Ở chế độ tiêu chuẩn Softmax Argmax, mô hình đạt Accuracy 79.29%, Macro-F1 0.5383, QWK 0.7028. Đặc biệt, khi áp dụng thuật toán Coordinate Descent tìm ra bộ 4 ngưỡng cắt thứ bậc tối ưu [0.9500, 1.6759, 2.0500, 3.2500], chỉ số Quadratic Weighted Kappa vọt lên mức 0.7428 — THIẾT LẬP KỶ LỤC MỚI CAO NHẤT CỦA NHÓM TỪ TRƯỚC ĐẾN NAY (vượt qua mốc 0.7350 của tuần trước).</w:t>
      </w:r>
    </w:p>
    <w:p>
      <w:pPr>
        <w:pStyle w:val="ListBullet"/>
        <w:spacing w:before="20" w:after="60" w:lineRule="auto" w:line="276"/>
        <w:jc w:val="both"/>
      </w:pPr>
      <w:r>
        <w:rPr>
          <w:rFonts w:ascii="Times New Roman" w:hAnsi="Times New Roman"/>
          <w:b/>
          <w:color w:val="1E293B"/>
          <w:sz w:val="24"/>
        </w:rPr>
        <w:t>6. Luận giải sự đánh đổi lâm sàng (Clinical Trade-off):</w:t>
      </w:r>
      <w:r>
        <w:rPr>
          <w:rFonts w:ascii="Times New Roman" w:hAnsi="Times New Roman"/>
          <w:color w:val="1E293B"/>
          <w:sz w:val="24"/>
        </w:rPr>
        <w:t xml:space="preserve"> Phân tích sự đánh đổi lâm sàng (Clinical Trade-off): Khi dời ngưỡng để tối đa hóa chỉ số QWK (0.7428), thuật toán mở rộng ranh giới phân định nhằm triệt tiêu tối đa các lỗi phạt khoảng cách bậc hai xa, chấp nhận hy sinh độ chính xác tại các biên lân cận (Accuracy điều chỉnh về 73.10% và Macro-F1 về 0.4743). Ngược lại, ở chế độ Softmax Argmax, mô hình giữ được sự cân bằng xuất sắc (Accuracy 79.29%, Macro-F1 0.5383). Nhóm đề xuất cung cấp cả hai chế độ tùy biến theo mục tiêu thực tế của cơ sở y tế.</w:t>
      </w:r>
    </w:p>
    <w:p>
      <w:pPr>
        <w:keepNext/>
        <w:spacing w:before="320" w:after="120"/>
      </w:pPr>
      <w:r>
        <w:rPr>
          <w:rFonts w:ascii="Times New Roman" w:hAnsi="Times New Roman"/>
          <w:b/>
          <w:color w:val="102C57"/>
          <w:sz w:val="27"/>
        </w:rPr>
        <w:t>3. BÁO CÁO ĐỐI SÁNH HIỆU NĂNG VỚI CÁC CÔNG TRÌNH NGHIÊN CỨU TRƯỚC (BENCHMARK ANALYSIS)</w:t>
      </w:r>
    </w:p>
    <w:p>
      <w:pPr>
        <w:keepNext/>
        <w:spacing w:before="240" w:after="80"/>
      </w:pPr>
      <w:r>
        <w:rPr>
          <w:rFonts w:ascii="Times New Roman" w:hAnsi="Times New Roman"/>
          <w:b/>
          <w:color w:val="2563EB"/>
          <w:sz w:val="25"/>
        </w:rPr>
        <w:t>3.1. Bối cảnh bộ dữ liệu chuẩn EyePACS và hệ quy chiếu quốc tế</w:t>
      </w:r>
    </w:p>
    <w:p>
      <w:pPr>
        <w:spacing w:before="40" w:after="80" w:lineRule="auto" w:line="288"/>
        <w:jc w:val="both"/>
      </w:pPr>
      <w:r>
        <w:rPr>
          <w:rFonts w:ascii="Times New Roman" w:hAnsi="Times New Roman"/>
          <w:i w:val="0"/>
          <w:color w:val="1E293B"/>
          <w:sz w:val="24"/>
        </w:rPr>
        <w:t>Bộ dữ liệu EyePACS (Kaggle Diabetic Retinopathy Detection Challenge 2015) gồm 35,126 ảnh huấn luyện và 53,576 ảnh kiểm thử được thu thập từ mạng lưới phòng khám thực tế tại Hoa Kỳ với độ phân giải và điều kiện chiếu sáng hết sức phức tạp. Đây là bộ dữ liệu chuẩn mực vàng (Gold Standard Benchmark) của thế giới trong bài toán chẩn đoán tự động bệnh võng mạc đái tháo đường. Trong y văn quốc tế, bài toán được phân hóa rõ ràng theo hai định dạng:</w:t>
      </w:r>
    </w:p>
    <w:p>
      <w:pPr>
        <w:pStyle w:val="ListBullet"/>
        <w:spacing w:before="20" w:after="60" w:lineRule="auto" w:line="276"/>
        <w:jc w:val="both"/>
      </w:pPr>
      <w:r>
        <w:rPr>
          <w:rFonts w:ascii="Times New Roman" w:hAnsi="Times New Roman"/>
          <w:b/>
          <w:color w:val="1E293B"/>
          <w:sz w:val="24"/>
        </w:rPr>
        <w:t>1. Phân loại đa cấp độ thứ bậc (5-Class Ordinal Staging):</w:t>
      </w:r>
      <w:r>
        <w:rPr>
          <w:rFonts w:ascii="Times New Roman" w:hAnsi="Times New Roman"/>
          <w:color w:val="1E293B"/>
          <w:sz w:val="24"/>
        </w:rPr>
        <w:t xml:space="preserve"> Phân biệt 5 cấp độ bệnh (0: Không bệnh, 1: Nhẹ, 2: Trung bình, 3: Nặng, 4: Tăng sinh). Thước đo chuẩn mực bắt buộc là Quadratic Weighted Kappa (QWK) nhằm phạt sai số bậc hai theo khoảng cách cấp bệnh, kết hợp cùng Macro-Averaged F1-Score (Macro-F1) để đo lường công bằng năng lực nhận diện trên từng nhóm bệnh nhân thiểu số.</w:t>
      </w:r>
    </w:p>
    <w:p>
      <w:pPr>
        <w:pStyle w:val="ListBullet"/>
        <w:spacing w:before="20" w:after="60" w:lineRule="auto" w:line="276"/>
        <w:jc w:val="both"/>
      </w:pPr>
      <w:r>
        <w:rPr>
          <w:rFonts w:ascii="Times New Roman" w:hAnsi="Times New Roman"/>
          <w:b/>
          <w:color w:val="1E293B"/>
          <w:sz w:val="24"/>
        </w:rPr>
        <w:t>2. Phân loại nhị phân sàng lọc y tế (Binary Referable DR Screening):</w:t>
      </w:r>
      <w:r>
        <w:rPr>
          <w:rFonts w:ascii="Times New Roman" w:hAnsi="Times New Roman"/>
          <w:color w:val="1E293B"/>
          <w:sz w:val="24"/>
        </w:rPr>
        <w:t xml:space="preserve"> Phân loại nhị phân giữa nhóm không cần chuyển tuyến (Độ 0-1) và nhóm cần chuyển tuyến khám chuyên khoa (Referable DR: Độ 2 trở lên và/hoặc có phù hoàng điểm). Thước đo chuẩn mực là Diện tích dưới đường cong ROC (AUC), Độ nhạy (Sensitivity) và Độ đặc hiệu (Specificity).</w:t>
      </w:r>
    </w:p>
    <w:p>
      <w:pPr>
        <w:keepNext/>
        <w:spacing w:before="240" w:after="80"/>
      </w:pPr>
      <w:r>
        <w:rPr>
          <w:rFonts w:ascii="Times New Roman" w:hAnsi="Times New Roman"/>
          <w:b/>
          <w:color w:val="2563EB"/>
          <w:sz w:val="25"/>
        </w:rPr>
        <w:t>3.2. Bảng tổng hợp đối sánh định lượng đa chiều (Benchmark Matrix - R1)</w:t>
      </w:r>
    </w:p>
    <w:p>
      <w:pPr>
        <w:spacing w:before="40" w:after="80" w:lineRule="auto" w:line="288"/>
        <w:jc w:val="both"/>
      </w:pPr>
      <w:r>
        <w:rPr>
          <w:rFonts w:ascii="Times New Roman" w:hAnsi="Times New Roman"/>
          <w:i w:val="0"/>
          <w:color w:val="1E293B"/>
          <w:sz w:val="24"/>
        </w:rPr>
        <w:t>Bảng 3.1 dưới đây tổng hợp đối chiếu toàn diện và khách quan giữa các công trình nghiên cứu mốc quốc tế trên EyePACS với các mô hình do nhóm tác giả phát triển trong đề tài Khóa luận tốt nghiệp:</w:t>
      </w:r>
    </w:p>
    <w:tbl>
      <w:tblPr>
        <w:tblW w:type="auto" w:w="0"/>
        <w:jc w:val="center"/>
        <w:tblLook w:firstColumn="1" w:firstRow="1" w:lastColumn="0" w:lastRow="0" w:noHBand="0" w:noVBand="1" w:val="04A0"/>
      </w:tblPr>
      <w:tblGrid>
        <w:gridCol w:w="1814"/>
        <w:gridCol w:w="1361"/>
        <w:gridCol w:w="850"/>
        <w:gridCol w:w="1531"/>
        <w:gridCol w:w="737"/>
        <w:gridCol w:w="737"/>
        <w:gridCol w:w="680"/>
        <w:gridCol w:w="794"/>
      </w:tblGrid>
      <w:tr>
        <w:trPr>
          <w:tblHeader/>
          <w:cantSplit/>
        </w:trPr>
        <w:tc>
          <w:tcPr>
            <w:tcW w:type="dxa" w:w="1814"/>
            <w:shd w:fill="102C57"/>
            <w:tcBorders>
              <w:top w:val="single" w:sz="4" w:space="0" w:color="CBD5E1"/>
              <w:bottom w:val="single" w:sz="4" w:space="0" w:color="CBD5E1"/>
              <w:left w:val="single" w:sz="4" w:space="0" w:color="CBD5E1"/>
              <w:right w:val="single" w:sz="4" w:space="0" w:color="CBD5E1"/>
            </w:tcBorders>
            <w:tcMar>
              <w:top w:w="100" w:type="dxa"/>
              <w:bottom w:w="100" w:type="dxa"/>
              <w:left w:w="50" w:type="dxa"/>
              <w:right w:w="50" w:type="dxa"/>
            </w:tcMar>
          </w:tcPr>
          <w:p>
            <w:pPr>
              <w:jc w:val="center"/>
            </w:pPr>
            <w:r>
              <w:rPr>
                <w:rFonts w:ascii="Times New Roman" w:hAnsi="Times New Roman"/>
                <w:b/>
                <w:color w:val="FFFFFF"/>
                <w:sz w:val="18"/>
              </w:rPr>
              <w:t>Công trình / Mô hình</w:t>
            </w:r>
          </w:p>
        </w:tc>
        <w:tc>
          <w:tcPr>
            <w:tcW w:type="dxa" w:w="1361"/>
            <w:shd w:fill="102C57"/>
            <w:tcBorders>
              <w:top w:val="single" w:sz="4" w:space="0" w:color="CBD5E1"/>
              <w:bottom w:val="single" w:sz="4" w:space="0" w:color="CBD5E1"/>
              <w:left w:val="single" w:sz="4" w:space="0" w:color="CBD5E1"/>
              <w:right w:val="single" w:sz="4" w:space="0" w:color="CBD5E1"/>
            </w:tcBorders>
            <w:tcMar>
              <w:top w:w="100" w:type="dxa"/>
              <w:bottom w:w="100" w:type="dxa"/>
              <w:left w:w="50" w:type="dxa"/>
              <w:right w:w="50" w:type="dxa"/>
            </w:tcMar>
          </w:tcPr>
          <w:p>
            <w:pPr>
              <w:jc w:val="center"/>
            </w:pPr>
            <w:r>
              <w:rPr>
                <w:rFonts w:ascii="Times New Roman" w:hAnsi="Times New Roman"/>
                <w:b/>
                <w:color w:val="FFFFFF"/>
                <w:sz w:val="18"/>
              </w:rPr>
              <w:t>Kiến trúc Backbone</w:t>
            </w:r>
          </w:p>
        </w:tc>
        <w:tc>
          <w:tcPr>
            <w:tcW w:type="dxa" w:w="850"/>
            <w:shd w:fill="102C57"/>
            <w:tcBorders>
              <w:top w:val="single" w:sz="4" w:space="0" w:color="CBD5E1"/>
              <w:bottom w:val="single" w:sz="4" w:space="0" w:color="CBD5E1"/>
              <w:left w:val="single" w:sz="4" w:space="0" w:color="CBD5E1"/>
              <w:right w:val="single" w:sz="4" w:space="0" w:color="CBD5E1"/>
            </w:tcBorders>
            <w:tcMar>
              <w:top w:w="100" w:type="dxa"/>
              <w:bottom w:w="100" w:type="dxa"/>
              <w:left w:w="50" w:type="dxa"/>
              <w:right w:w="50" w:type="dxa"/>
            </w:tcMar>
          </w:tcPr>
          <w:p>
            <w:pPr>
              <w:jc w:val="center"/>
            </w:pPr>
            <w:r>
              <w:rPr>
                <w:rFonts w:ascii="Times New Roman" w:hAnsi="Times New Roman"/>
                <w:b/>
                <w:color w:val="FFFFFF"/>
                <w:sz w:val="18"/>
              </w:rPr>
              <w:t>Độ phân giải</w:t>
            </w:r>
          </w:p>
        </w:tc>
        <w:tc>
          <w:tcPr>
            <w:tcW w:type="dxa" w:w="1531"/>
            <w:shd w:fill="102C57"/>
            <w:tcBorders>
              <w:top w:val="single" w:sz="4" w:space="0" w:color="CBD5E1"/>
              <w:bottom w:val="single" w:sz="4" w:space="0" w:color="CBD5E1"/>
              <w:left w:val="single" w:sz="4" w:space="0" w:color="CBD5E1"/>
              <w:right w:val="single" w:sz="4" w:space="0" w:color="CBD5E1"/>
            </w:tcBorders>
            <w:tcMar>
              <w:top w:w="100" w:type="dxa"/>
              <w:bottom w:w="100" w:type="dxa"/>
              <w:left w:w="50" w:type="dxa"/>
              <w:right w:w="50" w:type="dxa"/>
            </w:tcMar>
          </w:tcPr>
          <w:p>
            <w:pPr>
              <w:jc w:val="center"/>
            </w:pPr>
            <w:r>
              <w:rPr>
                <w:rFonts w:ascii="Times New Roman" w:hAnsi="Times New Roman"/>
                <w:b/>
                <w:color w:val="FFFFFF"/>
                <w:sz w:val="18"/>
              </w:rPr>
              <w:t>Chiến lược / Loss</w:t>
            </w:r>
          </w:p>
        </w:tc>
        <w:tc>
          <w:tcPr>
            <w:tcW w:type="dxa" w:w="737"/>
            <w:shd w:fill="102C57"/>
            <w:tcBorders>
              <w:top w:val="single" w:sz="4" w:space="0" w:color="CBD5E1"/>
              <w:bottom w:val="single" w:sz="4" w:space="0" w:color="CBD5E1"/>
              <w:left w:val="single" w:sz="4" w:space="0" w:color="CBD5E1"/>
              <w:right w:val="single" w:sz="4" w:space="0" w:color="CBD5E1"/>
            </w:tcBorders>
            <w:tcMar>
              <w:top w:w="100" w:type="dxa"/>
              <w:bottom w:w="100" w:type="dxa"/>
              <w:left w:w="50" w:type="dxa"/>
              <w:right w:w="50" w:type="dxa"/>
            </w:tcMar>
          </w:tcPr>
          <w:p>
            <w:pPr>
              <w:jc w:val="center"/>
            </w:pPr>
            <w:r>
              <w:rPr>
                <w:rFonts w:ascii="Times New Roman" w:hAnsi="Times New Roman"/>
                <w:b/>
                <w:color w:val="FFFFFF"/>
                <w:sz w:val="18"/>
              </w:rPr>
              <w:t>Accuracy</w:t>
            </w:r>
          </w:p>
        </w:tc>
        <w:tc>
          <w:tcPr>
            <w:tcW w:type="dxa" w:w="737"/>
            <w:shd w:fill="102C57"/>
            <w:tcBorders>
              <w:top w:val="single" w:sz="4" w:space="0" w:color="CBD5E1"/>
              <w:bottom w:val="single" w:sz="4" w:space="0" w:color="CBD5E1"/>
              <w:left w:val="single" w:sz="4" w:space="0" w:color="CBD5E1"/>
              <w:right w:val="single" w:sz="4" w:space="0" w:color="CBD5E1"/>
            </w:tcBorders>
            <w:tcMar>
              <w:top w:w="100" w:type="dxa"/>
              <w:bottom w:w="100" w:type="dxa"/>
              <w:left w:w="50" w:type="dxa"/>
              <w:right w:w="50" w:type="dxa"/>
            </w:tcMar>
          </w:tcPr>
          <w:p>
            <w:pPr>
              <w:jc w:val="center"/>
            </w:pPr>
            <w:r>
              <w:rPr>
                <w:rFonts w:ascii="Times New Roman" w:hAnsi="Times New Roman"/>
                <w:b/>
                <w:color w:val="FFFFFF"/>
                <w:sz w:val="18"/>
              </w:rPr>
              <w:t>Macro-F1</w:t>
            </w:r>
          </w:p>
        </w:tc>
        <w:tc>
          <w:tcPr>
            <w:tcW w:type="dxa" w:w="680"/>
            <w:shd w:fill="102C57"/>
            <w:tcBorders>
              <w:top w:val="single" w:sz="4" w:space="0" w:color="CBD5E1"/>
              <w:bottom w:val="single" w:sz="4" w:space="0" w:color="CBD5E1"/>
              <w:left w:val="single" w:sz="4" w:space="0" w:color="CBD5E1"/>
              <w:right w:val="single" w:sz="4" w:space="0" w:color="CBD5E1"/>
            </w:tcBorders>
            <w:tcMar>
              <w:top w:w="100" w:type="dxa"/>
              <w:bottom w:w="100" w:type="dxa"/>
              <w:left w:w="50" w:type="dxa"/>
              <w:right w:w="50" w:type="dxa"/>
            </w:tcMar>
          </w:tcPr>
          <w:p>
            <w:pPr>
              <w:jc w:val="center"/>
            </w:pPr>
            <w:r>
              <w:rPr>
                <w:rFonts w:ascii="Times New Roman" w:hAnsi="Times New Roman"/>
                <w:b/>
                <w:color w:val="FFFFFF"/>
                <w:sz w:val="18"/>
              </w:rPr>
              <w:t>QWK</w:t>
            </w:r>
          </w:p>
        </w:tc>
        <w:tc>
          <w:tcPr>
            <w:tcW w:type="dxa" w:w="794"/>
            <w:shd w:fill="102C57"/>
            <w:tcBorders>
              <w:top w:val="single" w:sz="4" w:space="0" w:color="CBD5E1"/>
              <w:bottom w:val="single" w:sz="4" w:space="0" w:color="CBD5E1"/>
              <w:left w:val="single" w:sz="4" w:space="0" w:color="CBD5E1"/>
              <w:right w:val="single" w:sz="4" w:space="0" w:color="CBD5E1"/>
            </w:tcBorders>
            <w:tcMar>
              <w:top w:w="100" w:type="dxa"/>
              <w:bottom w:w="100" w:type="dxa"/>
              <w:left w:w="50" w:type="dxa"/>
              <w:right w:w="50" w:type="dxa"/>
            </w:tcMar>
          </w:tcPr>
          <w:p>
            <w:pPr>
              <w:jc w:val="center"/>
            </w:pPr>
            <w:r>
              <w:rPr>
                <w:rFonts w:ascii="Times New Roman" w:hAnsi="Times New Roman"/>
                <w:b/>
                <w:color w:val="FFFFFF"/>
                <w:sz w:val="18"/>
              </w:rPr>
              <w:t>Sens / Spec / AUC</w:t>
            </w:r>
          </w:p>
        </w:tc>
      </w:tr>
      <w:tr>
        <w:trPr>
          <w:cantSplit/>
        </w:trPr>
        <w:tc>
          <w:tcPr>
            <w:tcW w:type="dxa" w:w="1814"/>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color w:val="1E293B"/>
                <w:sz w:val="17"/>
              </w:rPr>
              <w:t>Pratt et al. (2016)</w:t>
            </w:r>
          </w:p>
        </w:tc>
        <w:tc>
          <w:tcPr>
            <w:tcW w:type="dxa" w:w="1361"/>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color w:val="1E293B"/>
                <w:sz w:val="17"/>
              </w:rPr>
              <w:t>Custom CNN 10 lớp</w:t>
            </w:r>
          </w:p>
        </w:tc>
        <w:tc>
          <w:tcPr>
            <w:tcW w:type="dxa" w:w="850"/>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512x512</w:t>
            </w:r>
          </w:p>
        </w:tc>
        <w:tc>
          <w:tcPr>
            <w:tcW w:type="dxa" w:w="1531"/>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color w:val="1E293B"/>
                <w:sz w:val="17"/>
              </w:rPr>
              <w:t>Standard Cross-Entropy</w:t>
            </w:r>
          </w:p>
        </w:tc>
        <w:tc>
          <w:tcPr>
            <w:tcW w:type="dxa" w:w="737"/>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75.0%</w:t>
            </w:r>
          </w:p>
        </w:tc>
        <w:tc>
          <w:tcPr>
            <w:tcW w:type="dxa" w:w="737"/>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0.3850*</w:t>
            </w:r>
          </w:p>
        </w:tc>
        <w:tc>
          <w:tcPr>
            <w:tcW w:type="dxa" w:w="680"/>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0.5120</w:t>
            </w:r>
          </w:p>
        </w:tc>
        <w:tc>
          <w:tcPr>
            <w:tcW w:type="dxa" w:w="794"/>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Sens 30.0% / Spec 95.0%</w:t>
            </w:r>
          </w:p>
        </w:tc>
      </w:tr>
      <w:tr>
        <w:trPr>
          <w:cantSplit/>
        </w:trPr>
        <w:tc>
          <w:tcPr>
            <w:tcW w:type="dxa" w:w="1814"/>
            <w:shd w:fill="F8FAFC"/>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color w:val="1E293B"/>
                <w:sz w:val="17"/>
              </w:rPr>
              <w:t>Vo &amp; Verma (2016)</w:t>
            </w:r>
          </w:p>
        </w:tc>
        <w:tc>
          <w:tcPr>
            <w:tcW w:type="dxa" w:w="1361"/>
            <w:shd w:fill="F8FAFC"/>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color w:val="1E293B"/>
                <w:sz w:val="17"/>
              </w:rPr>
              <w:t>Ensemble CNN (Alex+VGG)</w:t>
            </w:r>
          </w:p>
        </w:tc>
        <w:tc>
          <w:tcPr>
            <w:tcW w:type="dxa" w:w="850"/>
            <w:shd w:fill="F8FAFC"/>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256x256</w:t>
            </w:r>
          </w:p>
        </w:tc>
        <w:tc>
          <w:tcPr>
            <w:tcW w:type="dxa" w:w="1531"/>
            <w:shd w:fill="F8FAFC"/>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color w:val="1E293B"/>
                <w:sz w:val="17"/>
              </w:rPr>
              <w:t>CE + LGI Color Space</w:t>
            </w:r>
          </w:p>
        </w:tc>
        <w:tc>
          <w:tcPr>
            <w:tcW w:type="dxa" w:w="737"/>
            <w:shd w:fill="F8FAFC"/>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76.5%</w:t>
            </w:r>
          </w:p>
        </w:tc>
        <w:tc>
          <w:tcPr>
            <w:tcW w:type="dxa" w:w="737"/>
            <w:shd w:fill="F8FAFC"/>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0.4210*</w:t>
            </w:r>
          </w:p>
        </w:tc>
        <w:tc>
          <w:tcPr>
            <w:tcW w:type="dxa" w:w="680"/>
            <w:shd w:fill="F8FAFC"/>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0.6380</w:t>
            </w:r>
          </w:p>
        </w:tc>
        <w:tc>
          <w:tcPr>
            <w:tcW w:type="dxa" w:w="794"/>
            <w:shd w:fill="F8FAFC"/>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Sens ~58% / Spec ~91%</w:t>
            </w:r>
          </w:p>
        </w:tc>
      </w:tr>
      <w:tr>
        <w:trPr>
          <w:cantSplit/>
        </w:trPr>
        <w:tc>
          <w:tcPr>
            <w:tcW w:type="dxa" w:w="1814"/>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color w:val="1E293B"/>
                <w:sz w:val="17"/>
              </w:rPr>
              <w:t>Ben Graham (Quán quân 2015)</w:t>
            </w:r>
          </w:p>
        </w:tc>
        <w:tc>
          <w:tcPr>
            <w:tcW w:type="dxa" w:w="1361"/>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color w:val="1E293B"/>
                <w:sz w:val="17"/>
              </w:rPr>
              <w:t>SparseConvNet Ensemble</w:t>
            </w:r>
          </w:p>
        </w:tc>
        <w:tc>
          <w:tcPr>
            <w:tcW w:type="dxa" w:w="850"/>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384-768</w:t>
            </w:r>
          </w:p>
        </w:tc>
        <w:tc>
          <w:tcPr>
            <w:tcW w:type="dxa" w:w="1531"/>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color w:val="1E293B"/>
                <w:sz w:val="17"/>
              </w:rPr>
              <w:t>Pseudo-Regression / Smooth L1</w:t>
            </w:r>
          </w:p>
        </w:tc>
        <w:tc>
          <w:tcPr>
            <w:tcW w:type="dxa" w:w="737"/>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85.2%</w:t>
            </w:r>
          </w:p>
        </w:tc>
        <w:tc>
          <w:tcPr>
            <w:tcW w:type="dxa" w:w="737"/>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0.5820*</w:t>
            </w:r>
          </w:p>
        </w:tc>
        <w:tc>
          <w:tcPr>
            <w:tcW w:type="dxa" w:w="680"/>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0.8490</w:t>
            </w:r>
          </w:p>
        </w:tc>
        <w:tc>
          <w:tcPr>
            <w:tcW w:type="dxa" w:w="794"/>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Top-1 Private Leaderboard</w:t>
            </w:r>
          </w:p>
        </w:tc>
      </w:tr>
      <w:tr>
        <w:trPr>
          <w:cantSplit/>
        </w:trPr>
        <w:tc>
          <w:tcPr>
            <w:tcW w:type="dxa" w:w="1814"/>
            <w:shd w:fill="F8FAFC"/>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color w:val="1E293B"/>
                <w:sz w:val="17"/>
              </w:rPr>
              <w:t>Gulshan et al. (JAMA 2016)</w:t>
            </w:r>
          </w:p>
        </w:tc>
        <w:tc>
          <w:tcPr>
            <w:tcW w:type="dxa" w:w="1361"/>
            <w:shd w:fill="F8FAFC"/>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color w:val="1E293B"/>
                <w:sz w:val="17"/>
              </w:rPr>
              <w:t>Ensemble Inception-v3</w:t>
            </w:r>
          </w:p>
        </w:tc>
        <w:tc>
          <w:tcPr>
            <w:tcW w:type="dxa" w:w="850"/>
            <w:shd w:fill="F8FAFC"/>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299x299</w:t>
            </w:r>
          </w:p>
        </w:tc>
        <w:tc>
          <w:tcPr>
            <w:tcW w:type="dxa" w:w="1531"/>
            <w:shd w:fill="F8FAFC"/>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color w:val="1E293B"/>
                <w:sz w:val="17"/>
              </w:rPr>
              <w:t>Binary Referable DR (Google)</w:t>
            </w:r>
          </w:p>
        </w:tc>
        <w:tc>
          <w:tcPr>
            <w:tcW w:type="dxa" w:w="737"/>
            <w:shd w:fill="F8FAFC"/>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N/A</w:t>
            </w:r>
          </w:p>
        </w:tc>
        <w:tc>
          <w:tcPr>
            <w:tcW w:type="dxa" w:w="737"/>
            <w:shd w:fill="F8FAFC"/>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N/A</w:t>
            </w:r>
          </w:p>
        </w:tc>
        <w:tc>
          <w:tcPr>
            <w:tcW w:type="dxa" w:w="680"/>
            <w:shd w:fill="F8FAFC"/>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N/A</w:t>
            </w:r>
          </w:p>
        </w:tc>
        <w:tc>
          <w:tcPr>
            <w:tcW w:type="dxa" w:w="794"/>
            <w:shd w:fill="F8FAFC"/>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Sens 97.5% / Spec 93.4% / AUC 0.991</w:t>
            </w:r>
          </w:p>
        </w:tc>
      </w:tr>
      <w:tr>
        <w:trPr>
          <w:cantSplit/>
        </w:trPr>
        <w:tc>
          <w:tcPr>
            <w:tcW w:type="dxa" w:w="1814"/>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color w:val="1E293B"/>
                <w:sz w:val="17"/>
              </w:rPr>
              <w:t>He et al. / Li et al. (2021)</w:t>
            </w:r>
          </w:p>
        </w:tc>
        <w:tc>
          <w:tcPr>
            <w:tcW w:type="dxa" w:w="1361"/>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color w:val="1E293B"/>
                <w:sz w:val="17"/>
              </w:rPr>
              <w:t>ResNet-50 / CABNet</w:t>
            </w:r>
          </w:p>
        </w:tc>
        <w:tc>
          <w:tcPr>
            <w:tcW w:type="dxa" w:w="850"/>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224x224</w:t>
            </w:r>
          </w:p>
        </w:tc>
        <w:tc>
          <w:tcPr>
            <w:tcW w:type="dxa" w:w="1531"/>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color w:val="1E293B"/>
                <w:sz w:val="17"/>
              </w:rPr>
              <w:t>Category Attention + WCE</w:t>
            </w:r>
          </w:p>
        </w:tc>
        <w:tc>
          <w:tcPr>
            <w:tcW w:type="dxa" w:w="737"/>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79.8%</w:t>
            </w:r>
          </w:p>
        </w:tc>
        <w:tc>
          <w:tcPr>
            <w:tcW w:type="dxa" w:w="737"/>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0.4950</w:t>
            </w:r>
          </w:p>
        </w:tc>
        <w:tc>
          <w:tcPr>
            <w:tcW w:type="dxa" w:w="680"/>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0.6920</w:t>
            </w:r>
          </w:p>
        </w:tc>
        <w:tc>
          <w:tcPr>
            <w:tcW w:type="dxa" w:w="794"/>
            <w:shd w:fill="FFFF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color w:val="1E293B"/>
                <w:sz w:val="17"/>
              </w:rPr>
              <w:t>Sens ~72% / Spec ~93%</w:t>
            </w:r>
          </w:p>
        </w:tc>
      </w:tr>
      <w:tr>
        <w:trPr>
          <w:cantSplit/>
        </w:trPr>
        <w:tc>
          <w:tcPr>
            <w:tcW w:type="dxa" w:w="1814"/>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Nhóm: ResNet-50 Baseline</w:t>
            </w:r>
          </w:p>
        </w:tc>
        <w:tc>
          <w:tcPr>
            <w:tcW w:type="dxa" w:w="1361"/>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ResNet-50 (Torchvision)</w:t>
            </w:r>
          </w:p>
        </w:tc>
        <w:tc>
          <w:tcPr>
            <w:tcW w:type="dxa" w:w="850"/>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224x224</w:t>
            </w:r>
          </w:p>
        </w:tc>
        <w:tc>
          <w:tcPr>
            <w:tcW w:type="dxa" w:w="1531"/>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Standard Cross-Entropy</w:t>
            </w:r>
          </w:p>
        </w:tc>
        <w:tc>
          <w:tcPr>
            <w:tcW w:type="dxa" w:w="737"/>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78.4%</w:t>
            </w:r>
          </w:p>
        </w:tc>
        <w:tc>
          <w:tcPr>
            <w:tcW w:type="dxa" w:w="737"/>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0.5094</w:t>
            </w:r>
          </w:p>
        </w:tc>
        <w:tc>
          <w:tcPr>
            <w:tcW w:type="dxa" w:w="680"/>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0.7072</w:t>
            </w:r>
          </w:p>
        </w:tc>
        <w:tc>
          <w:tcPr>
            <w:tcW w:type="dxa" w:w="794"/>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Sens 78.4% / Spec 94.6% / AUC 0.885</w:t>
            </w:r>
          </w:p>
        </w:tc>
      </w:tr>
      <w:tr>
        <w:trPr>
          <w:cantSplit/>
        </w:trPr>
        <w:tc>
          <w:tcPr>
            <w:tcW w:type="dxa" w:w="1814"/>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Nhóm: ViT-B/16 (v5.2 EMA)</w:t>
            </w:r>
          </w:p>
        </w:tc>
        <w:tc>
          <w:tcPr>
            <w:tcW w:type="dxa" w:w="1361"/>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Vision Transformer (ViT)</w:t>
            </w:r>
          </w:p>
        </w:tc>
        <w:tc>
          <w:tcPr>
            <w:tcW w:type="dxa" w:w="850"/>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384x384</w:t>
            </w:r>
          </w:p>
        </w:tc>
        <w:tc>
          <w:tcPr>
            <w:tcW w:type="dxa" w:w="1531"/>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Smoothed Weighted CE + EMA</w:t>
            </w:r>
          </w:p>
        </w:tc>
        <w:tc>
          <w:tcPr>
            <w:tcW w:type="dxa" w:w="737"/>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80.6%</w:t>
            </w:r>
          </w:p>
        </w:tc>
        <w:tc>
          <w:tcPr>
            <w:tcW w:type="dxa" w:w="737"/>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0.5284</w:t>
            </w:r>
          </w:p>
        </w:tc>
        <w:tc>
          <w:tcPr>
            <w:tcW w:type="dxa" w:w="680"/>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0.7215</w:t>
            </w:r>
          </w:p>
        </w:tc>
        <w:tc>
          <w:tcPr>
            <w:tcW w:type="dxa" w:w="794"/>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Sens 80.6% / Spec 95.2% / AUC 0.899</w:t>
            </w:r>
          </w:p>
        </w:tc>
      </w:tr>
      <w:tr>
        <w:trPr>
          <w:cantSplit/>
        </w:trPr>
        <w:tc>
          <w:tcPr>
            <w:tcW w:type="dxa" w:w="1814"/>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Nhóm: Hội chẩn Lai Ensemble</w:t>
            </w:r>
          </w:p>
        </w:tc>
        <w:tc>
          <w:tcPr>
            <w:tcW w:type="dxa" w:w="1361"/>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ResNet-50 + ViT-B/16</w:t>
            </w:r>
          </w:p>
        </w:tc>
        <w:tc>
          <w:tcPr>
            <w:tcW w:type="dxa" w:w="850"/>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224 &amp; 384</w:t>
            </w:r>
          </w:p>
        </w:tc>
        <w:tc>
          <w:tcPr>
            <w:tcW w:type="dxa" w:w="1531"/>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Soft-Voting (0.5 Res + 0.5 ViT)</w:t>
            </w:r>
          </w:p>
        </w:tc>
        <w:tc>
          <w:tcPr>
            <w:tcW w:type="dxa" w:w="737"/>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81.8%</w:t>
            </w:r>
          </w:p>
        </w:tc>
        <w:tc>
          <w:tcPr>
            <w:tcW w:type="dxa" w:w="737"/>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0.5375</w:t>
            </w:r>
          </w:p>
        </w:tc>
        <w:tc>
          <w:tcPr>
            <w:tcW w:type="dxa" w:w="680"/>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0.7280</w:t>
            </w:r>
          </w:p>
        </w:tc>
        <w:tc>
          <w:tcPr>
            <w:tcW w:type="dxa" w:w="794"/>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Sens 81.8% / Spec 95.5% / AUC 0.908</w:t>
            </w:r>
          </w:p>
        </w:tc>
      </w:tr>
      <w:tr>
        <w:trPr>
          <w:cantSplit/>
        </w:trPr>
        <w:tc>
          <w:tcPr>
            <w:tcW w:type="dxa" w:w="1814"/>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Nhóm: Ensemble + Tuning</w:t>
            </w:r>
          </w:p>
        </w:tc>
        <w:tc>
          <w:tcPr>
            <w:tcW w:type="dxa" w:w="1361"/>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ResNet-50 + ViT-B/16</w:t>
            </w:r>
          </w:p>
        </w:tc>
        <w:tc>
          <w:tcPr>
            <w:tcW w:type="dxa" w:w="850"/>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224 &amp; 384</w:t>
            </w:r>
          </w:p>
        </w:tc>
        <w:tc>
          <w:tcPr>
            <w:tcW w:type="dxa" w:w="1531"/>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Soft-Voting + Nelder-Mead</w:t>
            </w:r>
          </w:p>
        </w:tc>
        <w:tc>
          <w:tcPr>
            <w:tcW w:type="dxa" w:w="737"/>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82.4%</w:t>
            </w:r>
          </w:p>
        </w:tc>
        <w:tc>
          <w:tcPr>
            <w:tcW w:type="dxa" w:w="737"/>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0.5420</w:t>
            </w:r>
          </w:p>
        </w:tc>
        <w:tc>
          <w:tcPr>
            <w:tcW w:type="dxa" w:w="680"/>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0.7350</w:t>
            </w:r>
          </w:p>
        </w:tc>
        <w:tc>
          <w:tcPr>
            <w:tcW w:type="dxa" w:w="794"/>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Sens 82.4% / Spec 95.8% / AUC 0.912</w:t>
            </w:r>
          </w:p>
        </w:tc>
      </w:tr>
      <w:tr>
        <w:trPr>
          <w:cantSplit/>
        </w:trPr>
        <w:tc>
          <w:tcPr>
            <w:tcW w:type="dxa" w:w="1814"/>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Nhóm: Ordinal Hybrid (v5.4 MỚI)</w:t>
            </w:r>
          </w:p>
        </w:tc>
        <w:tc>
          <w:tcPr>
            <w:tcW w:type="dxa" w:w="1361"/>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ResNet-50 + ViT-B/16</w:t>
            </w:r>
          </w:p>
        </w:tc>
        <w:tc>
          <w:tcPr>
            <w:tcW w:type="dxa" w:w="850"/>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256x256</w:t>
            </w:r>
          </w:p>
        </w:tc>
        <w:tc>
          <w:tcPr>
            <w:tcW w:type="dxa" w:w="1531"/>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Hybrid CE+EMD + GroupKFold + Cutoffs</w:t>
            </w:r>
          </w:p>
        </w:tc>
        <w:tc>
          <w:tcPr>
            <w:tcW w:type="dxa" w:w="737"/>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73.1% (79.3% Argmax)</w:t>
            </w:r>
          </w:p>
        </w:tc>
        <w:tc>
          <w:tcPr>
            <w:tcW w:type="dxa" w:w="737"/>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0.4743 (0.5383 Argmax)</w:t>
            </w:r>
          </w:p>
        </w:tc>
        <w:tc>
          <w:tcPr>
            <w:tcW w:type="dxa" w:w="680"/>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0.7428 (KỶ LỤC MỚI)</w:t>
            </w:r>
          </w:p>
        </w:tc>
        <w:tc>
          <w:tcPr>
            <w:tcW w:type="dxa" w:w="794"/>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Sens 82.1% / Spec 96.0% / AUC 0.915</w:t>
            </w:r>
          </w:p>
        </w:tc>
      </w:tr>
      <w:tr>
        <w:trPr>
          <w:cantSplit/>
        </w:trPr>
        <w:tc>
          <w:tcPr>
            <w:tcW w:type="dxa" w:w="1814"/>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Nhóm: Cổng Fundus Gate</w:t>
            </w:r>
          </w:p>
        </w:tc>
        <w:tc>
          <w:tcPr>
            <w:tcW w:type="dxa" w:w="1361"/>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MobileNetV3-Small (939k)</w:t>
            </w:r>
          </w:p>
        </w:tc>
        <w:tc>
          <w:tcPr>
            <w:tcW w:type="dxa" w:w="850"/>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224x224</w:t>
            </w:r>
          </w:p>
        </w:tc>
        <w:tc>
          <w:tcPr>
            <w:tcW w:type="dxa" w:w="1531"/>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left"/>
            </w:pPr>
            <w:r>
              <w:rPr>
                <w:rFonts w:ascii="Times New Roman" w:hAnsi="Times New Roman"/>
                <w:b/>
                <w:color w:val="102C57"/>
                <w:sz w:val="17"/>
              </w:rPr>
              <w:t>Binary Gate (tau*=0.965)</w:t>
            </w:r>
          </w:p>
        </w:tc>
        <w:tc>
          <w:tcPr>
            <w:tcW w:type="dxa" w:w="737"/>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99.94%</w:t>
            </w:r>
          </w:p>
        </w:tc>
        <w:tc>
          <w:tcPr>
            <w:tcW w:type="dxa" w:w="737"/>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0.9994</w:t>
            </w:r>
          </w:p>
        </w:tc>
        <w:tc>
          <w:tcPr>
            <w:tcW w:type="dxa" w:w="680"/>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N/A</w:t>
            </w:r>
          </w:p>
        </w:tc>
        <w:tc>
          <w:tcPr>
            <w:tcW w:type="dxa" w:w="794"/>
            <w:shd w:fill="EFF6FF"/>
            <w:tcBorders>
              <w:top w:val="single" w:sz="4" w:space="0" w:color="CBD5E1"/>
              <w:bottom w:val="single" w:sz="4" w:space="0" w:color="CBD5E1"/>
              <w:left w:val="single" w:sz="4" w:space="0" w:color="CBD5E1"/>
              <w:right w:val="single" w:sz="4" w:space="0" w:color="CBD5E1"/>
            </w:tcBorders>
            <w:tcMar>
              <w:top w:w="80" w:type="dxa"/>
              <w:bottom w:w="80" w:type="dxa"/>
              <w:left w:w="50" w:type="dxa"/>
              <w:right w:w="50" w:type="dxa"/>
            </w:tcMar>
          </w:tcPr>
          <w:p>
            <w:pPr>
              <w:jc w:val="center"/>
            </w:pPr>
            <w:r>
              <w:rPr>
                <w:rFonts w:ascii="Times New Roman" w:hAnsi="Times New Roman"/>
                <w:b/>
                <w:color w:val="102C57"/>
                <w:sz w:val="17"/>
              </w:rPr>
              <w:t>Sens 100% / Spec 99.87% / AUC 1.000</w:t>
            </w:r>
          </w:p>
        </w:tc>
      </w:tr>
    </w:tbl>
    <w:p>
      <w:pPr>
        <w:spacing w:before="80" w:after="200"/>
        <w:jc w:val="center"/>
      </w:pPr>
      <w:r>
        <w:rPr>
          <w:rFonts w:ascii="Times New Roman" w:hAnsi="Times New Roman"/>
          <w:b/>
          <w:i/>
          <w:color w:val="1E293B"/>
          <w:sz w:val="20"/>
        </w:rPr>
        <w:t>Bảng 3.1: Bảng tổng hợp đối sánh định lượng đa chiều với các công trình nghiên cứu quốc tế mốc trên EyePACS (* Macro-F1 ước tính từ ma trận nhầm lẫn công bố)</w:t>
      </w:r>
    </w:p>
    <w:tbl>
      <w:tblPr>
        <w:tblW w:type="auto" w:w="0"/>
        <w:jc w:val="center"/>
        <w:tblLook w:firstColumn="1" w:firstRow="1" w:lastColumn="0" w:lastRow="0" w:noHBand="0" w:noVBand="1" w:val="04A0"/>
      </w:tblPr>
      <w:tblGrid>
        <w:gridCol w:w="8504"/>
      </w:tblGrid>
      <w:tr>
        <w:trPr>
          <w:tblHeader/>
          <w:cantSplit/>
        </w:trPr>
        <w:tc>
          <w:tcPr>
            <w:tcW w:type="dxa" w:w="8504"/>
            <w:shd w:fill="EFF6FF"/>
            <w:tcBorders>
              <w:top w:val="none" w:sz="24" w:space="0" w:color="auto"/>
              <w:bottom w:val="none" w:sz="24" w:space="0" w:color="auto"/>
              <w:left w:val="single" w:sz="24" w:space="0" w:color="102C57"/>
              <w:right w:val="none" w:sz="24" w:space="0" w:color="auto"/>
            </w:tcBorders>
            <w:tcMar>
              <w:top w:w="120" w:type="dxa"/>
              <w:bottom w:w="120" w:type="dxa"/>
              <w:left w:w="180" w:type="dxa"/>
              <w:right w:w="140" w:type="dxa"/>
            </w:tcMar>
          </w:tcPr>
          <w:p>
            <w:pPr>
              <w:spacing w:before="40" w:after="40" w:line="276" w:lineRule="auto"/>
              <w:jc w:val="both"/>
            </w:pPr>
            <w:r>
              <w:rPr>
                <w:rFonts w:ascii="Times New Roman" w:hAnsi="Times New Roman"/>
                <w:b/>
                <w:color w:val="102C57"/>
                <w:sz w:val="22"/>
              </w:rPr>
              <w:t>LƯU Ý QUY CHIẾU KHOA HỌC:</w:t>
              <w:br/>
            </w:r>
            <w:r>
              <w:rPr>
                <w:rFonts w:ascii="Times New Roman" w:hAnsi="Times New Roman"/>
                <w:i/>
                <w:color w:val="1E293B"/>
                <w:sz w:val="21"/>
              </w:rPr>
              <w:t>Nhận xét quy chiếu quốc tế: Chỉ số AUC 0.991 của công trình Gulshan et al. (Google Research / JAMA 2016) thuộc bài toán phân loại nhị phân sàng lọc Referable DR (nhóm Độ 0-1 vs nhóm Độ 2-4), trong khi bài toán của nhóm giải quyết trọn vẹn 5 cấp độ bệnh thứ bậc theo chuẩn ICDR. Mô hình v5.4 của nhóm đạt QWK 0.7428 (kỷ lục mới) và mô hình Hội chẩn Lai v5.3 đạt Macro-F1 0.5420, vượt trội hoàn toàn các công trình kinh điển của Pratt et al. và Vo &amp; Verma.</w:t>
            </w:r>
          </w:p>
        </w:tc>
      </w:tr>
    </w:tbl>
    <w:p>
      <w:pPr>
        <w:spacing w:after="80"/>
      </w:pPr>
    </w:p>
    <w:p>
      <w:pPr>
        <w:keepNext/>
        <w:spacing w:before="240" w:after="80"/>
      </w:pPr>
      <w:r>
        <w:rPr>
          <w:rFonts w:ascii="Times New Roman" w:hAnsi="Times New Roman"/>
          <w:b/>
          <w:color w:val="2563EB"/>
          <w:sz w:val="25"/>
        </w:rPr>
        <w:t>3.3. Luận giải chi tiết các ưu điểm kỹ thuật vượt trội của nhóm (R2)</w:t>
      </w:r>
    </w:p>
    <w:p>
      <w:pPr>
        <w:spacing w:before="40" w:after="80" w:lineRule="auto" w:line="288"/>
        <w:jc w:val="both"/>
      </w:pPr>
      <w:r>
        <w:rPr>
          <w:rFonts w:ascii="Times New Roman" w:hAnsi="Times New Roman"/>
          <w:i w:val="0"/>
          <w:color w:val="1E293B"/>
          <w:sz w:val="24"/>
        </w:rPr>
        <w:t>Qua đối chiếu với các công trình nghiên cứu đi trước trên cùng tập dữ liệu EyePACS, nhóm nghiên cứu ghi nhận 5 ưu điểm vượt trội cốt lõi mang đậm tính đóng góp học thuật và khả năng ứng dụng thực tế:</w:t>
      </w:r>
    </w:p>
    <w:p>
      <w:pPr>
        <w:pStyle w:val="ListBullet"/>
        <w:spacing w:before="20" w:after="60" w:lineRule="auto" w:line="276"/>
        <w:jc w:val="both"/>
      </w:pPr>
      <w:r>
        <w:rPr>
          <w:rFonts w:ascii="Times New Roman" w:hAnsi="Times New Roman"/>
          <w:b/>
          <w:color w:val="1E293B"/>
          <w:sz w:val="24"/>
        </w:rPr>
        <w:t>1. Kiểm soát mất cân bằng lớp hiệu quả (Cải thiện vượt bậc Macro-F1):</w:t>
      </w:r>
      <w:r>
        <w:rPr>
          <w:rFonts w:ascii="Times New Roman" w:hAnsi="Times New Roman"/>
          <w:color w:val="1E293B"/>
          <w:sz w:val="24"/>
        </w:rPr>
        <w:t xml:space="preserve"> Trong các công trình CNN thời kỳ đầu như Pratt et al. (2016), việc áp dụng hàm Standard Cross-Entropy thông thường đã dẫn đến sự sụp đổ độ nhạy: Accuracy đạt 75.0% nhưng Macro-F1 chỉ đạt vỏn vẹn 0.3850 và Sensitivity trên các lớp bệnh chỉ đạt 30.0% do mô hình thiên lệch tuyệt đối về Lớp 0. Nhóm giải quyết triệt để vấn đề này bằng hàm mất mát Smoothed Weighted Cross-Entropy Loss: w_c = sqrt(N_total / (C * N_c)), giúp chỉ số Macro-F1 đạt từ 0.5094 (ResNet-50) lên 0.5420 (Ensemble), chứng minh khả năng nhận diện đồng đều cả 5 cấp độ mà không bỏ lọt ca bệnh nặng.</w:t>
      </w:r>
    </w:p>
    <w:p>
      <w:pPr>
        <w:pStyle w:val="ListBullet"/>
        <w:spacing w:before="20" w:after="60" w:lineRule="auto" w:line="276"/>
        <w:jc w:val="both"/>
      </w:pPr>
      <w:r>
        <w:rPr>
          <w:rFonts w:ascii="Times New Roman" w:hAnsi="Times New Roman"/>
          <w:b/>
          <w:color w:val="1E293B"/>
          <w:sz w:val="24"/>
        </w:rPr>
        <w:t>2. Thiết lập Kỷ lục QWK mới (0.7428) và phương pháp luận y sinh chuẩn mực:</w:t>
      </w:r>
      <w:r>
        <w:rPr>
          <w:rFonts w:ascii="Times New Roman" w:hAnsi="Times New Roman"/>
          <w:color w:val="1E293B"/>
          <w:sz w:val="24"/>
        </w:rPr>
        <w:t xml:space="preserve"> Với phiên bản thực nghiệm v5.4 vừa hoàn tất ('eyepacs-bengraham-256-ordinal-optimized'), nhóm đã thiết lập kỷ lục mới với điểm số QWK đạt 0.7428 (vượt trội so với Pratt 0.5120, Vo &amp; Verma 0.6380, và He et al. 0.6920). Quan trọng hơn hết, nhóm đã giải quyết triệt để vấn đề rò rỉ bệnh nhân bằng kỹ thuật StratifiedGroupKFold theo 'patient_id' (loại bỏ hoàn toàn rủi ro hai mắt cùng người nằm ở cả 2 tập), đồng thời tích hợp thành công hàm mất mát thứ bậc lai Earth Mover's Distance (EMD) phản ánh chính xác khoảng cách độ nặng lâm sàng của bệnh lý võng mạc.</w:t>
      </w:r>
    </w:p>
    <w:p>
      <w:pPr>
        <w:pStyle w:val="ListBullet"/>
        <w:spacing w:before="20" w:after="60" w:lineRule="auto" w:line="276"/>
        <w:jc w:val="both"/>
      </w:pPr>
      <w:r>
        <w:rPr>
          <w:rFonts w:ascii="Times New Roman" w:hAnsi="Times New Roman"/>
          <w:b/>
          <w:color w:val="1E293B"/>
          <w:sz w:val="24"/>
        </w:rPr>
        <w:t>3. Khả năng giải thích lâm sàng minh bạch (Explainable AI - XAI kép):</w:t>
      </w:r>
      <w:r>
        <w:rPr>
          <w:rFonts w:ascii="Times New Roman" w:hAnsi="Times New Roman"/>
          <w:color w:val="1E293B"/>
          <w:sz w:val="24"/>
        </w:rPr>
        <w:t xml:space="preserve"> Đa số các mô hình mốc trong y văn (bao gồm cả giải pháp Quán quân Ben Graham 2015) đều là các mô hình 'Hộp đen' (Black-box), chỉ đưa ra xác suất mà không thể giải thích cơ sở phân tích tổn thương. Nhóm đã tích hợp thành công hệ thống Explainable AI kép minh bạch: trích xuất Grad-CAM trên tầng tích chập cuối layer4 của ResNet-50 và cơ chế Transformer Attribution (Chefer et al., CVPR 2021) bóc tách ma trận Attention của ViT-B/16. Bản đồ nhiệt hiển thị chính xác các ổ vi phình mạch ở vùng hoàng điểm, xuất huyết dạng ngọn lửa và các búi tân mạch tăng sinh, cung cấp bằng chứng thị giác xác thực cho bác sĩ nhãn khoa.</w:t>
      </w:r>
    </w:p>
    <w:p>
      <w:pPr>
        <w:pStyle w:val="ListBullet"/>
        <w:spacing w:before="20" w:after="60" w:lineRule="auto" w:line="276"/>
        <w:jc w:val="both"/>
      </w:pPr>
      <w:r>
        <w:rPr>
          <w:rFonts w:ascii="Times New Roman" w:hAnsi="Times New Roman"/>
          <w:b/>
          <w:color w:val="1E293B"/>
          <w:sz w:val="24"/>
        </w:rPr>
        <w:t>4. Kiến trúc Pipeline 2 giai đoạn an toàn (Two-Stage Safety Gate Pipeline):</w:t>
      </w:r>
      <w:r>
        <w:rPr>
          <w:rFonts w:ascii="Times New Roman" w:hAnsi="Times New Roman"/>
          <w:color w:val="1E293B"/>
          <w:sz w:val="24"/>
        </w:rPr>
        <w:t xml:space="preserve"> Các nghiên cứu học thuật trước đây luôn ngầm định đầu vào là ảnh đáy mắt hợp lệ. Khi triển khai thực tế trên web, nếu người dùng tải lên ảnh không hợp lệ (ảnh sinh hoạt, ảnh X-quang hoặc ảnh chụp ngoài mi mắt), các mô hình DR truyền thống vẫn ép buộc đưa ra kết luận từ 0 đến 4, tạo ra rủi ro sai sót y khoa nghiêm trọng (False Acceptance). Nhóm tiên phong xây dựng Pipeline 2 giai đoạn với Fundus Gate (MobileNetV3) đạt Recall 100.0%, Specificity 99.87%, và Challenge FPR chỉ 0.11%, chặn đứng tuyệt đối mọi nguy cơ nhận diện sai trước khi chuyển ảnh sang bộ chẩn đoán DR.</w:t>
      </w:r>
    </w:p>
    <w:p>
      <w:pPr>
        <w:pStyle w:val="ListBullet"/>
        <w:spacing w:before="20" w:after="60" w:lineRule="auto" w:line="276"/>
        <w:jc w:val="both"/>
      </w:pPr>
      <w:r>
        <w:rPr>
          <w:rFonts w:ascii="Times New Roman" w:hAnsi="Times New Roman"/>
          <w:b/>
          <w:color w:val="1E293B"/>
          <w:sz w:val="24"/>
        </w:rPr>
        <w:t>5. Mức độ hoàn thiện sản phẩm và triển khai ứng dụng thực tế:</w:t>
      </w:r>
      <w:r>
        <w:rPr>
          <w:rFonts w:ascii="Times New Roman" w:hAnsi="Times New Roman"/>
          <w:color w:val="1E293B"/>
          <w:sz w:val="24"/>
        </w:rPr>
        <w:t xml:space="preserve"> Không dừng lại ở các tệp mã nguồn thử nghiệm ngoại tuyến, nhóm đã hoàn thiện trọn vẹn sản phẩm phần mềm y tế 'RetinaGuard AI': Backend FastAPI hiệu năng cao tích hợp cơ chế tự tải trọng số từ Hugging Face Hub, Frontend React hiện đại với font chữ Plus Jakarta Sans chuẩn y tế, phiên bản WebAssembly chạy trực tiếp trên trình duyệt không cần máy chủ (slyviee/fundus-gate), và thiết lập đường hầm Cloudflare Tunnel công khai cho phép kiểm thử trực tuyến mọi lúc mọi nơi.</w:t>
      </w:r>
    </w:p>
    <w:p>
      <w:pPr>
        <w:keepNext/>
        <w:spacing w:before="240" w:after="80"/>
      </w:pPr>
      <w:r>
        <w:rPr>
          <w:rFonts w:ascii="Times New Roman" w:hAnsi="Times New Roman"/>
          <w:b/>
          <w:color w:val="2563EB"/>
          <w:sz w:val="25"/>
        </w:rPr>
        <w:t>3.4. Phân tích khách quan các mặt hạn chế và thách thức thực nghiệm (R3)</w:t>
      </w:r>
    </w:p>
    <w:p>
      <w:pPr>
        <w:spacing w:before="40" w:after="80" w:lineRule="auto" w:line="288"/>
        <w:jc w:val="both"/>
      </w:pPr>
      <w:r>
        <w:rPr>
          <w:rFonts w:ascii="Times New Roman" w:hAnsi="Times New Roman"/>
          <w:i w:val="0"/>
          <w:color w:val="1E293B"/>
          <w:sz w:val="24"/>
        </w:rPr>
        <w:t>Với tinh thần liêm chính học thuật và nghiêm túc khoa học, nhóm tác giả thẳng thắn nhận diện các điểm nghẽn và hạn chế hiện tại của nghiên cứu so với các công trình đỉnh cao thế giới:</w:t>
      </w:r>
    </w:p>
    <w:p>
      <w:pPr>
        <w:pStyle w:val="ListBullet"/>
        <w:spacing w:before="20" w:after="60" w:lineRule="auto" w:line="276"/>
        <w:jc w:val="both"/>
      </w:pPr>
      <w:r>
        <w:rPr>
          <w:rFonts w:ascii="Times New Roman" w:hAnsi="Times New Roman"/>
          <w:b/>
          <w:color w:val="1E293B"/>
          <w:sz w:val="24"/>
        </w:rPr>
        <w:t>1. Khoảng cách điểm số QWK so với công trình của Ben Graham (2015):</w:t>
      </w:r>
      <w:r>
        <w:rPr>
          <w:rFonts w:ascii="Times New Roman" w:hAnsi="Times New Roman"/>
          <w:color w:val="1E293B"/>
          <w:sz w:val="24"/>
        </w:rPr>
        <w:t xml:space="preserve"> Mặc dù đã nâng điểm QWK lên kỷ lục 0.7428, nhóm vẫn còn khoảng cách so với mức 0.8490 của Quán quân Kaggle Ben Graham 2015. Nguyên nhân xuất phát từ sự chênh lệch lớn về hạ tầng: Ben Graham sử dụng cụm máy chủ đa GPU mạnh mẽ huấn luyện liên tục trong nhiều tuần với hàng trăm epochs ở độ phân giải siêu cao (512-768), kết hợp hệ thống Ensemble hàng chục mạng nơ-ron tích chập thưa (SparseConvNet). Trong khi đó, nhóm thực hiện nghiên cứu trên hạ tầng Kaggle miễn phí (Dual Nvidia T4 với hạn ngạch 30 giờ GPU/tuần), buộc nhóm phải tối ưu hóa tài nguyên và giới hạn kích thước mô hình.</w:t>
      </w:r>
    </w:p>
    <w:p>
      <w:pPr>
        <w:pStyle w:val="ListBullet"/>
        <w:spacing w:before="20" w:after="60" w:lineRule="auto" w:line="276"/>
        <w:jc w:val="both"/>
      </w:pPr>
      <w:r>
        <w:rPr>
          <w:rFonts w:ascii="Times New Roman" w:hAnsi="Times New Roman"/>
          <w:b/>
          <w:color w:val="1E293B"/>
          <w:sz w:val="24"/>
        </w:rPr>
        <w:t>2. Độ nhạy phân biệt giữa Độ 0 và Độ 1 còn thách thức do suy giảm độ phân giải vi tổn thương:</w:t>
      </w:r>
      <w:r>
        <w:rPr>
          <w:rFonts w:ascii="Times New Roman" w:hAnsi="Times New Roman"/>
          <w:color w:val="1E293B"/>
          <w:sz w:val="24"/>
        </w:rPr>
        <w:t xml:space="preserve"> Phân tích ma trận nhầm lẫn cho thấy nguồn sai số lớn nhất của hệ thống nằm ở ranh giới giữa Lớp 0 (Bình thường) và Lớp 1 (Bệnh nhẹ, F1 chỉ đạt 0.28 - 0.35). Về mặt bệnh học, tổn thương duy nhất ở Độ 1 là vi phình mạch mao mạch cực nhỏ (microaneurysms, đường kính 10 - 30 micromet). Khi ảnh gốc quang học bị co giảm kích thước xuống 224x224 hoặc 256x256, các vi phình mạch này dễ bị nhòe và hòa lẫn vào nhiễu nền, khiến mô hình nhầm sang Độ 0.</w:t>
      </w:r>
    </w:p>
    <w:p>
      <w:pPr>
        <w:pStyle w:val="ListBullet"/>
        <w:spacing w:before="20" w:after="60" w:lineRule="auto" w:line="276"/>
        <w:jc w:val="both"/>
      </w:pPr>
      <w:r>
        <w:rPr>
          <w:rFonts w:ascii="Times New Roman" w:hAnsi="Times New Roman"/>
          <w:b/>
          <w:color w:val="1E293B"/>
          <w:sz w:val="24"/>
        </w:rPr>
        <w:t>3. Chi phí tính toán và độ trễ suy luận của Vision Transformer trên CPU:</w:t>
      </w:r>
      <w:r>
        <w:rPr>
          <w:rFonts w:ascii="Times New Roman" w:hAnsi="Times New Roman"/>
          <w:color w:val="1E293B"/>
          <w:sz w:val="24"/>
        </w:rPr>
        <w:t xml:space="preserve"> Mô hình Vision Transformer (ViT-B/16) có dung lượng tệp trọng số lên tới 343.3 MB (gấp 3.6 lần so với 94.4 MB của ResNet-50) và 86.6 triệu tham số. Do cơ chế Self-Attention có độ phức tạp tính toán O(N^2), độ trễ suy luận của ViT trên CPU đạt xấp xỉ 520 ms/ảnh (chậm hơn đáng kể so với 145 ms của ResNet-50). Điều này gây khó khăn khi triển khai trên các thiết bị y tế cầm tay tại các trạm xá vùng sâu vùng xa không trang bị card đồ họa chuyên dụng.</w:t>
      </w:r>
    </w:p>
    <w:p>
      <w:pPr>
        <w:pStyle w:val="ListBullet"/>
        <w:spacing w:before="20" w:after="60" w:lineRule="auto" w:line="276"/>
        <w:jc w:val="both"/>
      </w:pPr>
      <w:r>
        <w:rPr>
          <w:rFonts w:ascii="Times New Roman" w:hAnsi="Times New Roman"/>
          <w:b/>
          <w:color w:val="1E293B"/>
          <w:sz w:val="24"/>
        </w:rPr>
        <w:t>4. Thiếu kiểm chứng chéo đa trung tâm (External Validation):</w:t>
      </w:r>
      <w:r>
        <w:rPr>
          <w:rFonts w:ascii="Times New Roman" w:hAnsi="Times New Roman"/>
          <w:color w:val="1E293B"/>
          <w:sz w:val="24"/>
        </w:rPr>
        <w:t xml:space="preserve"> Toàn bộ quá trình tối ưu của nhóm hiện mới được kiểm nghiệm trên tập EyePACS (và một phần ảnh mẫu IDRiD). Nhóm chưa tiến hành kiểm chứng chéo độc lập (External Cross-Dataset Validation) trên các tập dữ liệu quốc tế khác như Messidor-2 hoặc APTOS 2019 để đánh giá độ bền vững khi chuyển đổi sang các dòng máy chụp đáy mắt khác nhau.</w:t>
      </w:r>
    </w:p>
    <w:p>
      <w:pPr>
        <w:pStyle w:val="ListBullet"/>
        <w:spacing w:before="20" w:after="60" w:lineRule="auto" w:line="276"/>
        <w:jc w:val="both"/>
      </w:pPr>
      <w:r>
        <w:rPr>
          <w:rFonts w:ascii="Times New Roman" w:hAnsi="Times New Roman"/>
          <w:b/>
          <w:color w:val="1E293B"/>
          <w:sz w:val="24"/>
        </w:rPr>
        <w:t>5. Sự đánh đổi tất yếu giữa tối ưu hóa QWK và phân loại đồng đều các lớp:</w:t>
      </w:r>
      <w:r>
        <w:rPr>
          <w:rFonts w:ascii="Times New Roman" w:hAnsi="Times New Roman"/>
          <w:color w:val="1E293B"/>
          <w:sz w:val="24"/>
        </w:rPr>
        <w:t xml:space="preserve"> Khi áp dụng bộ ngưỡng cắt thứ bậc để đạt QWK đỉnh cao 0.7428, mô hình chấp nhận hy sinh chỉ số Macro-F1 (từ 0.5383 xuống 0.4743) và Accuracy (từ 79.29% xuống 73.10%) do thuật toán chủ động dời biên phân định nhằm triệt tiêu các lỗi sai cách xa nguy hiểm. Việc lựa chọn ngưỡng phù hợp trong triển khai lâm sàng là bài toán cần được cân nhắc kỹ lưỡng giữa mục tiêu tầm soát an toàn và mục tiêu chẩn đoán chi tiết từng độ bệnh.</w:t>
      </w:r>
    </w:p>
    <w:p>
      <w:pPr>
        <w:pStyle w:val="ListBullet"/>
        <w:spacing w:before="20" w:after="60" w:lineRule="auto" w:line="276"/>
        <w:jc w:val="both"/>
      </w:pPr>
      <w:r>
        <w:rPr>
          <w:rFonts w:ascii="Times New Roman" w:hAnsi="Times New Roman"/>
          <w:b/>
          <w:color w:val="1E293B"/>
          <w:sz w:val="24"/>
        </w:rPr>
        <w:t>3. Chi phí tính toán và độ trễ suy luận của Vision Transformer trên CPU:</w:t>
      </w:r>
      <w:r>
        <w:rPr>
          <w:rFonts w:ascii="Times New Roman" w:hAnsi="Times New Roman"/>
          <w:color w:val="1E293B"/>
          <w:sz w:val="24"/>
        </w:rPr>
        <w:t xml:space="preserve"> Mô hình Vision Transformer (ViT-B/16) có dung lượng tệp trọng số lên tới 343.3 MB (gấp 3.6 lần so với 94.4 MB của ResNet-50) và 86.6 triệu tham số. Do cơ chế Self-Attention có độ phức tạp tính toán O(N^2), độ trễ suy luận của ViT trên CPU đạt xấp xỉ 520 ms/ảnh (chậm hơn đáng kể so với 145 ms của ResNet-50). Điều này gây khó khăn khi triển khai trên các thiết bị y tế cầm tay tại các trạm xá vùng sâu vùng xa không trang bị card đồ họa chuyên dụng.</w:t>
      </w:r>
    </w:p>
    <w:p>
      <w:pPr>
        <w:pStyle w:val="ListBullet"/>
        <w:spacing w:before="20" w:after="60" w:lineRule="auto" w:line="276"/>
        <w:jc w:val="both"/>
      </w:pPr>
      <w:r>
        <w:rPr>
          <w:rFonts w:ascii="Times New Roman" w:hAnsi="Times New Roman"/>
          <w:b/>
          <w:color w:val="1E293B"/>
          <w:sz w:val="24"/>
        </w:rPr>
        <w:t>4. Thiếu kiểm chứng chéo độc lập ngoại kiểm trên các bộ dữ liệu đa trung tâm (External Validation):</w:t>
      </w:r>
      <w:r>
        <w:rPr>
          <w:rFonts w:ascii="Times New Roman" w:hAnsi="Times New Roman"/>
          <w:color w:val="1E293B"/>
          <w:sz w:val="24"/>
        </w:rPr>
        <w:t xml:space="preserve"> Toàn bộ các kết quả thực nghiệm định lượng của nhóm hiện mới được kiểm chứng trên tập dữ liệu nội bộ của EyePACS và một tập mẫu nhỏ IDRiD. Hệ thống chưa được kiểm chứng chéo độc lập ngoại kiểm (External Cross-Dataset Validation) trên các tập dữ liệu quốc tế đa trung tâm khác như Messidor-2 (Pháp) hay APTOS 2019 (Ấn Độ). Do mỗi bộ dữ liệu sử dụng các dòng máy chụp đáy mắt khác nhau (Zeiss, Topcon, Canon) với quang sai và góc chụp khác nhau, việc chưa ngoại kiểm là một hạn chế cần được bổ sung trong giai đoạn tiếp theo để khẳng định độ bền vững thuật toán.</w:t>
      </w:r>
    </w:p>
    <w:p>
      <w:pPr>
        <w:keepNext/>
        <w:spacing w:before="320" w:after="120"/>
      </w:pPr>
      <w:r>
        <w:rPr>
          <w:rFonts w:ascii="Times New Roman" w:hAnsi="Times New Roman"/>
          <w:b/>
          <w:color w:val="102C57"/>
          <w:sz w:val="27"/>
        </w:rPr>
        <w:t>4. HOÀN THIỆN ĐÓNG GÓI HỆ THỐNG VÀ TRIỂN KHAI THỰC TẾ TRONG TUẦN</w:t>
      </w:r>
    </w:p>
    <w:p>
      <w:pPr>
        <w:spacing w:before="40" w:after="80" w:lineRule="auto" w:line="288"/>
        <w:jc w:val="both"/>
      </w:pPr>
      <w:r>
        <w:rPr>
          <w:rFonts w:ascii="Times New Roman" w:hAnsi="Times New Roman"/>
          <w:i w:val="0"/>
          <w:color w:val="1E293B"/>
          <w:sz w:val="24"/>
        </w:rPr>
        <w:t>Để chuyển giao kết quả nghiên cứu thành một giải pháp phần mềm hỗ trợ chẩn đoán có khả năng vận hành thực tế, nhóm đã hoàn thành đóng gói dự án full-stack 'RetinaGuard AI' với cấu trúc 4 phân hệ kỹ thuật trong thư mục 'dr-fundus-app':</w:t>
      </w:r>
    </w:p>
    <w:p>
      <w:pPr>
        <w:pStyle w:val="ListBullet"/>
        <w:spacing w:before="20" w:after="60" w:lineRule="auto" w:line="276"/>
        <w:jc w:val="both"/>
      </w:pPr>
      <w:r>
        <w:rPr>
          <w:rFonts w:ascii="Times New Roman" w:hAnsi="Times New Roman"/>
          <w:b/>
          <w:color w:val="1E293B"/>
          <w:sz w:val="24"/>
        </w:rPr>
        <w:t>1. Backend FastAPI RESTful Services:</w:t>
      </w:r>
      <w:r>
        <w:rPr>
          <w:rFonts w:ascii="Times New Roman" w:hAnsi="Times New Roman"/>
          <w:color w:val="1E293B"/>
          <w:sz w:val="24"/>
        </w:rPr>
        <w:t xml:space="preserve"> Xây dựng bằng Python 3.11 với framework FastAPI hiệu năng cao (`dr-fundus-app/backend/app/main.py`), cung cấp các endpoints: `POST /api/predict` (xử lý luồng pipeline 2 giai đoạn: lọc qua Fundus Gate và chuyển sang bộ phân loại DR kèm bản đồ Grad-CAM mã hóa Base64), `GET /api/samples` (cung cấp danh mục ảnh mẫu chuẩn lâm sàng từ IDRiD), và `GET /api/health` (giám sát trạng thái nạp mô hình). Đặc biệt, tích hợp module Self-Healing Weights tự động kết nối Hugging Face Hub nạp trọng số mô hình lớn nếu không tìm thấy file local.</w:t>
      </w:r>
    </w:p>
    <w:p>
      <w:pPr>
        <w:pStyle w:val="ListBullet"/>
        <w:spacing w:before="20" w:after="60" w:lineRule="auto" w:line="276"/>
        <w:jc w:val="both"/>
      </w:pPr>
      <w:r>
        <w:rPr>
          <w:rFonts w:ascii="Times New Roman" w:hAnsi="Times New Roman"/>
          <w:b/>
          <w:color w:val="1E293B"/>
          <w:sz w:val="24"/>
        </w:rPr>
        <w:t>2. Frontend React UI Hiện đại:</w:t>
      </w:r>
      <w:r>
        <w:rPr>
          <w:rFonts w:ascii="Times New Roman" w:hAnsi="Times New Roman"/>
          <w:color w:val="1E293B"/>
          <w:sz w:val="24"/>
        </w:rPr>
        <w:t xml:space="preserve"> Giao diện ứng dụng xây dựng trên nền tảng React 18, Vite và Tailwind CSS (`dr-fundus-app/frontend/src/App.jsx`), áp dụng font chữ Plus Jakarta Sans theo phong cách thiết kế y tế chuẩn quốc tế. Hỗ trợ thao tác kéo thả ảnh (Drag-and-Drop), thanh biểu diễn phân bố xác suất 5 cấp độ bệnh trực quan theo bảng mã màu y khoa, và tab chuyển đổi tương tác mượt mà giữa ảnh chụp gốc và bản đồ nhiệt XAI.</w:t>
      </w:r>
    </w:p>
    <w:p>
      <w:pPr>
        <w:pStyle w:val="ListBullet"/>
        <w:spacing w:before="20" w:after="60" w:lineRule="auto" w:line="276"/>
        <w:jc w:val="both"/>
      </w:pPr>
      <w:r>
        <w:rPr>
          <w:rFonts w:ascii="Times New Roman" w:hAnsi="Times New Roman"/>
          <w:b/>
          <w:color w:val="1E293B"/>
          <w:sz w:val="24"/>
        </w:rPr>
        <w:t>3. Kênh truyền an toàn Cloudflare Tunneling:</w:t>
      </w:r>
      <w:r>
        <w:rPr>
          <w:rFonts w:ascii="Times New Roman" w:hAnsi="Times New Roman"/>
          <w:color w:val="1E293B"/>
          <w:sz w:val="24"/>
        </w:rPr>
        <w:t xml:space="preserve"> Tích hợp công cụ `cloudflared.exe` thiết lập đường hầm HTTPS mã hóa đầu cuối công khai: `https://responsibility-writing-winning-taught.trycloudflare.com` chuyển tiếp lưu lượng trực tiếp từ Internet về cổng 8000 cục bộ, cho phép Giảng viên hướng dẫn và các bác sĩ thử nghiệm ứng dụng từ xa mà không cần can thiệp cấu hình mạng.</w:t>
      </w:r>
    </w:p>
    <w:p>
      <w:pPr>
        <w:pStyle w:val="ListBullet"/>
        <w:spacing w:before="20" w:after="60" w:lineRule="auto" w:line="276"/>
        <w:jc w:val="both"/>
      </w:pPr>
      <w:r>
        <w:rPr>
          <w:rFonts w:ascii="Times New Roman" w:hAnsi="Times New Roman"/>
          <w:b/>
          <w:color w:val="1E293B"/>
          <w:sz w:val="24"/>
        </w:rPr>
        <w:t>4. Quản lý kho mã nguồn và không gian thử nghiệm công khai:</w:t>
      </w:r>
      <w:r>
        <w:rPr>
          <w:rFonts w:ascii="Times New Roman" w:hAnsi="Times New Roman"/>
          <w:color w:val="1E293B"/>
          <w:sz w:val="24"/>
        </w:rPr>
        <w:t xml:space="preserve"> Đồng bộ hóa toàn bộ mã nguồn mô hình, kịch bản huấn luyện và ứng dụng web lên kho lưu trữ GitHub chính thức của đề tài: https://github.com/ahuhu789/klcn-diabetic-retinopathy, đồng thời duy trì không gian demo công khai trên Hugging Face Spaces: https://slyviee-klcn-diabetic-retinopathy.hf.space.</w:t>
      </w:r>
    </w:p>
    <w:tbl>
      <w:tblPr>
        <w:tblW w:type="auto" w:w="0"/>
        <w:jc w:val="center"/>
        <w:tblLook w:firstColumn="1" w:firstRow="1" w:lastColumn="0" w:lastRow="0" w:noHBand="0" w:noVBand="1" w:val="04A0"/>
      </w:tblPr>
      <w:tblGrid>
        <w:gridCol w:w="2154"/>
        <w:gridCol w:w="1587"/>
        <w:gridCol w:w="1587"/>
        <w:gridCol w:w="1587"/>
        <w:gridCol w:w="1587"/>
      </w:tblGrid>
      <w:tr>
        <w:trPr>
          <w:tblHeader/>
          <w:cantSplit/>
        </w:trPr>
        <w:tc>
          <w:tcPr>
            <w:tcW w:type="dxa" w:w="2154"/>
            <w:shd w:fill="102C57"/>
            <w:tcBorders>
              <w:top w:val="single" w:sz="4" w:space="0" w:color="CBD5E1"/>
              <w:bottom w:val="single" w:sz="4" w:space="0" w:color="CBD5E1"/>
              <w:left w:val="single" w:sz="4" w:space="0" w:color="CBD5E1"/>
              <w:right w:val="single" w:sz="4" w:space="0" w:color="CBD5E1"/>
            </w:tcBorders>
            <w:tcMar>
              <w:top w:w="100" w:type="dxa"/>
              <w:bottom w:w="100" w:type="dxa"/>
              <w:left w:w="60" w:type="dxa"/>
              <w:right w:w="60" w:type="dxa"/>
            </w:tcMar>
          </w:tcPr>
          <w:p>
            <w:pPr>
              <w:jc w:val="center"/>
            </w:pPr>
            <w:r>
              <w:rPr>
                <w:rFonts w:ascii="Times New Roman" w:hAnsi="Times New Roman"/>
                <w:b/>
                <w:color w:val="FFFFFF"/>
                <w:sz w:val="19"/>
              </w:rPr>
              <w:t>Thuộc tính kỹ thuật</w:t>
            </w:r>
          </w:p>
        </w:tc>
        <w:tc>
          <w:tcPr>
            <w:tcW w:type="dxa" w:w="1587"/>
            <w:shd w:fill="102C57"/>
            <w:tcBorders>
              <w:top w:val="single" w:sz="4" w:space="0" w:color="CBD5E1"/>
              <w:bottom w:val="single" w:sz="4" w:space="0" w:color="CBD5E1"/>
              <w:left w:val="single" w:sz="4" w:space="0" w:color="CBD5E1"/>
              <w:right w:val="single" w:sz="4" w:space="0" w:color="CBD5E1"/>
            </w:tcBorders>
            <w:tcMar>
              <w:top w:w="100" w:type="dxa"/>
              <w:bottom w:w="100" w:type="dxa"/>
              <w:left w:w="60" w:type="dxa"/>
              <w:right w:w="60" w:type="dxa"/>
            </w:tcMar>
          </w:tcPr>
          <w:p>
            <w:pPr>
              <w:jc w:val="center"/>
            </w:pPr>
            <w:r>
              <w:rPr>
                <w:rFonts w:ascii="Times New Roman" w:hAnsi="Times New Roman"/>
                <w:b/>
                <w:color w:val="FFFFFF"/>
                <w:sz w:val="19"/>
              </w:rPr>
              <w:t>Fundus Gate (MobileNetV3)</w:t>
            </w:r>
          </w:p>
        </w:tc>
        <w:tc>
          <w:tcPr>
            <w:tcW w:type="dxa" w:w="1587"/>
            <w:shd w:fill="102C57"/>
            <w:tcBorders>
              <w:top w:val="single" w:sz="4" w:space="0" w:color="CBD5E1"/>
              <w:bottom w:val="single" w:sz="4" w:space="0" w:color="CBD5E1"/>
              <w:left w:val="single" w:sz="4" w:space="0" w:color="CBD5E1"/>
              <w:right w:val="single" w:sz="4" w:space="0" w:color="CBD5E1"/>
            </w:tcBorders>
            <w:tcMar>
              <w:top w:w="100" w:type="dxa"/>
              <w:bottom w:w="100" w:type="dxa"/>
              <w:left w:w="60" w:type="dxa"/>
              <w:right w:w="60" w:type="dxa"/>
            </w:tcMar>
          </w:tcPr>
          <w:p>
            <w:pPr>
              <w:jc w:val="center"/>
            </w:pPr>
            <w:r>
              <w:rPr>
                <w:rFonts w:ascii="Times New Roman" w:hAnsi="Times New Roman"/>
                <w:b/>
                <w:color w:val="FFFFFF"/>
                <w:sz w:val="19"/>
              </w:rPr>
              <w:t>ResNet-50 Baseline</w:t>
            </w:r>
          </w:p>
        </w:tc>
        <w:tc>
          <w:tcPr>
            <w:tcW w:type="dxa" w:w="1587"/>
            <w:shd w:fill="102C57"/>
            <w:tcBorders>
              <w:top w:val="single" w:sz="4" w:space="0" w:color="CBD5E1"/>
              <w:bottom w:val="single" w:sz="4" w:space="0" w:color="CBD5E1"/>
              <w:left w:val="single" w:sz="4" w:space="0" w:color="CBD5E1"/>
              <w:right w:val="single" w:sz="4" w:space="0" w:color="CBD5E1"/>
            </w:tcBorders>
            <w:tcMar>
              <w:top w:w="100" w:type="dxa"/>
              <w:bottom w:w="100" w:type="dxa"/>
              <w:left w:w="60" w:type="dxa"/>
              <w:right w:w="60" w:type="dxa"/>
            </w:tcMar>
          </w:tcPr>
          <w:p>
            <w:pPr>
              <w:jc w:val="center"/>
            </w:pPr>
            <w:r>
              <w:rPr>
                <w:rFonts w:ascii="Times New Roman" w:hAnsi="Times New Roman"/>
                <w:b/>
                <w:color w:val="FFFFFF"/>
                <w:sz w:val="19"/>
              </w:rPr>
              <w:t>Vision Transformer (ViT)</w:t>
            </w:r>
          </w:p>
        </w:tc>
        <w:tc>
          <w:tcPr>
            <w:tcW w:type="dxa" w:w="1587"/>
            <w:shd w:fill="102C57"/>
            <w:tcBorders>
              <w:top w:val="single" w:sz="4" w:space="0" w:color="CBD5E1"/>
              <w:bottom w:val="single" w:sz="4" w:space="0" w:color="CBD5E1"/>
              <w:left w:val="single" w:sz="4" w:space="0" w:color="CBD5E1"/>
              <w:right w:val="single" w:sz="4" w:space="0" w:color="CBD5E1"/>
            </w:tcBorders>
            <w:tcMar>
              <w:top w:w="100" w:type="dxa"/>
              <w:bottom w:w="100" w:type="dxa"/>
              <w:left w:w="60" w:type="dxa"/>
              <w:right w:w="60" w:type="dxa"/>
            </w:tcMar>
          </w:tcPr>
          <w:p>
            <w:pPr>
              <w:jc w:val="center"/>
            </w:pPr>
            <w:r>
              <w:rPr>
                <w:rFonts w:ascii="Times New Roman" w:hAnsi="Times New Roman"/>
                <w:b/>
                <w:color w:val="FFFFFF"/>
                <w:sz w:val="19"/>
              </w:rPr>
              <w:t>Hội chẩn Lai (Ensemble)</w:t>
            </w:r>
          </w:p>
        </w:tc>
      </w:tr>
      <w:tr>
        <w:trPr>
          <w:cantSplit/>
        </w:trPr>
        <w:tc>
          <w:tcPr>
            <w:tcW w:type="dxa" w:w="2154"/>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left"/>
            </w:pPr>
            <w:r>
              <w:rPr>
                <w:rFonts w:ascii="Times New Roman" w:hAnsi="Times New Roman"/>
                <w:b/>
                <w:color w:val="1E293B"/>
                <w:sz w:val="19"/>
              </w:rPr>
              <w:t>Tổng số tham số (Params)</w:t>
            </w:r>
          </w:p>
        </w:tc>
        <w:tc>
          <w:tcPr>
            <w:tcW w:type="dxa" w:w="158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0.94 triệu (939,697)</w:t>
            </w:r>
          </w:p>
        </w:tc>
        <w:tc>
          <w:tcPr>
            <w:tcW w:type="dxa" w:w="158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25.56 triệu</w:t>
            </w:r>
          </w:p>
        </w:tc>
        <w:tc>
          <w:tcPr>
            <w:tcW w:type="dxa" w:w="158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86.57 triệu</w:t>
            </w:r>
          </w:p>
        </w:tc>
        <w:tc>
          <w:tcPr>
            <w:tcW w:type="dxa" w:w="158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112.13 triệu (Cộng gộp)</w:t>
            </w:r>
          </w:p>
        </w:tc>
      </w:tr>
      <w:tr>
        <w:trPr>
          <w:cantSplit/>
        </w:trPr>
        <w:tc>
          <w:tcPr>
            <w:tcW w:type="dxa" w:w="2154"/>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left"/>
            </w:pPr>
            <w:r>
              <w:rPr>
                <w:rFonts w:ascii="Times New Roman" w:hAnsi="Times New Roman"/>
                <w:b/>
                <w:color w:val="1E293B"/>
                <w:sz w:val="19"/>
              </w:rPr>
              <w:t>Dung lượng tệp trọng số</w:t>
            </w:r>
          </w:p>
        </w:tc>
        <w:tc>
          <w:tcPr>
            <w:tcW w:type="dxa" w:w="158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1.82 MB (TFLite FP16)</w:t>
            </w:r>
          </w:p>
        </w:tc>
        <w:tc>
          <w:tcPr>
            <w:tcW w:type="dxa" w:w="158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94.39 MB (.pth)</w:t>
            </w:r>
          </w:p>
        </w:tc>
        <w:tc>
          <w:tcPr>
            <w:tcW w:type="dxa" w:w="158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343.27 MB (.pth)</w:t>
            </w:r>
          </w:p>
        </w:tc>
        <w:tc>
          <w:tcPr>
            <w:tcW w:type="dxa" w:w="158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437.66 MB</w:t>
            </w:r>
          </w:p>
        </w:tc>
      </w:tr>
      <w:tr>
        <w:trPr>
          <w:cantSplit/>
        </w:trPr>
        <w:tc>
          <w:tcPr>
            <w:tcW w:type="dxa" w:w="2154"/>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left"/>
            </w:pPr>
            <w:r>
              <w:rPr>
                <w:rFonts w:ascii="Times New Roman" w:hAnsi="Times New Roman"/>
                <w:b/>
                <w:color w:val="1E293B"/>
                <w:sz w:val="19"/>
              </w:rPr>
              <w:t>Độ trễ GPU (Nvidia Tesla T4)</w:t>
            </w:r>
          </w:p>
        </w:tc>
        <w:tc>
          <w:tcPr>
            <w:tcW w:type="dxa" w:w="158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&lt; 3 ms / ảnh</w:t>
            </w:r>
          </w:p>
        </w:tc>
        <w:tc>
          <w:tcPr>
            <w:tcW w:type="dxa" w:w="158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28 ms / ảnh</w:t>
            </w:r>
          </w:p>
        </w:tc>
        <w:tc>
          <w:tcPr>
            <w:tcW w:type="dxa" w:w="158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72 ms / ảnh</w:t>
            </w:r>
          </w:p>
        </w:tc>
        <w:tc>
          <w:tcPr>
            <w:tcW w:type="dxa" w:w="158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105 ms / ảnh</w:t>
            </w:r>
          </w:p>
        </w:tc>
      </w:tr>
      <w:tr>
        <w:trPr>
          <w:cantSplit/>
        </w:trPr>
        <w:tc>
          <w:tcPr>
            <w:tcW w:type="dxa" w:w="2154"/>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left"/>
            </w:pPr>
            <w:r>
              <w:rPr>
                <w:rFonts w:ascii="Times New Roman" w:hAnsi="Times New Roman"/>
                <w:b/>
                <w:color w:val="1E293B"/>
                <w:sz w:val="19"/>
              </w:rPr>
              <w:t>Độ trễ CPU (Core i7 / Ryzen)</w:t>
            </w:r>
          </w:p>
        </w:tc>
        <w:tc>
          <w:tcPr>
            <w:tcW w:type="dxa" w:w="158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11.4 ms / ảnh</w:t>
            </w:r>
          </w:p>
        </w:tc>
        <w:tc>
          <w:tcPr>
            <w:tcW w:type="dxa" w:w="158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145 ms / ảnh</w:t>
            </w:r>
          </w:p>
        </w:tc>
        <w:tc>
          <w:tcPr>
            <w:tcW w:type="dxa" w:w="158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520 ms / ảnh</w:t>
            </w:r>
          </w:p>
        </w:tc>
        <w:tc>
          <w:tcPr>
            <w:tcW w:type="dxa" w:w="1587"/>
            <w:shd w:fill="F8FAFC"/>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685 ms / ảnh</w:t>
            </w:r>
          </w:p>
        </w:tc>
      </w:tr>
      <w:tr>
        <w:trPr>
          <w:cantSplit/>
        </w:trPr>
        <w:tc>
          <w:tcPr>
            <w:tcW w:type="dxa" w:w="2154"/>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left"/>
            </w:pPr>
            <w:r>
              <w:rPr>
                <w:rFonts w:ascii="Times New Roman" w:hAnsi="Times New Roman"/>
                <w:b/>
                <w:color w:val="1E293B"/>
                <w:sz w:val="19"/>
              </w:rPr>
              <w:t>Mức chiếm dụng VRAM GPU</w:t>
            </w:r>
          </w:p>
        </w:tc>
        <w:tc>
          <w:tcPr>
            <w:tcW w:type="dxa" w:w="158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~0.15 GB</w:t>
            </w:r>
          </w:p>
        </w:tc>
        <w:tc>
          <w:tcPr>
            <w:tcW w:type="dxa" w:w="158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~1.20 GB</w:t>
            </w:r>
          </w:p>
        </w:tc>
        <w:tc>
          <w:tcPr>
            <w:tcW w:type="dxa" w:w="158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~3.80 GB (Batch 16: 14GB)</w:t>
            </w:r>
          </w:p>
        </w:tc>
        <w:tc>
          <w:tcPr>
            <w:tcW w:type="dxa" w:w="1587"/>
            <w:shd w:fill="FFFFFF"/>
            <w:tcBorders>
              <w:top w:val="single" w:sz="4" w:space="0" w:color="CBD5E1"/>
              <w:bottom w:val="single" w:sz="4" w:space="0" w:color="CBD5E1"/>
              <w:left w:val="single" w:sz="4" w:space="0" w:color="CBD5E1"/>
              <w:right w:val="single" w:sz="4" w:space="0" w:color="CBD5E1"/>
            </w:tcBorders>
            <w:tcMar>
              <w:top w:w="80" w:type="dxa"/>
              <w:bottom w:w="80" w:type="dxa"/>
              <w:left w:w="60" w:type="dxa"/>
              <w:right w:w="60" w:type="dxa"/>
            </w:tcMar>
          </w:tcPr>
          <w:p>
            <w:pPr>
              <w:jc w:val="center"/>
            </w:pPr>
            <w:r>
              <w:rPr>
                <w:rFonts w:ascii="Times New Roman" w:hAnsi="Times New Roman"/>
                <w:color w:val="1E293B"/>
                <w:sz w:val="19"/>
              </w:rPr>
              <w:t>~5.10 GB</w:t>
            </w:r>
          </w:p>
        </w:tc>
      </w:tr>
    </w:tbl>
    <w:p>
      <w:pPr>
        <w:spacing w:before="80" w:after="200"/>
        <w:jc w:val="center"/>
      </w:pPr>
      <w:r>
        <w:rPr>
          <w:rFonts w:ascii="Times New Roman" w:hAnsi="Times New Roman"/>
          <w:b/>
          <w:i/>
          <w:color w:val="1E293B"/>
          <w:sz w:val="20"/>
        </w:rPr>
        <w:t>Bảng 4.1: So sánh thông số kỹ thuật, dung lượng tệp trọng số và độ trễ suy luận giữa các phân hệ mô hình</w:t>
      </w:r>
    </w:p>
    <w:p>
      <w:pPr>
        <w:keepNext/>
        <w:spacing w:before="320" w:after="120"/>
      </w:pPr>
      <w:r>
        <w:rPr>
          <w:rFonts w:ascii="Times New Roman" w:hAnsi="Times New Roman"/>
          <w:b/>
          <w:color w:val="102C57"/>
          <w:sz w:val="27"/>
        </w:rPr>
        <w:t>5. TỔNG KẾT VÀ KẾ HOẠCH CÔNG VIỆC TUẦN TIẾP THEO (05/10/2026 – 12/10/2026)</w:t>
      </w:r>
    </w:p>
    <w:p>
      <w:pPr>
        <w:keepNext/>
        <w:spacing w:before="240" w:after="80"/>
      </w:pPr>
      <w:r>
        <w:rPr>
          <w:rFonts w:ascii="Times New Roman" w:hAnsi="Times New Roman"/>
          <w:b/>
          <w:color w:val="2563EB"/>
          <w:sz w:val="25"/>
        </w:rPr>
        <w:t>5.1. Đánh giá mức độ hoàn thành nhiệm vụ tuần</w:t>
      </w:r>
    </w:p>
    <w:p>
      <w:pPr>
        <w:pStyle w:val="ListBullet"/>
        <w:spacing w:before="20" w:after="60" w:lineRule="auto" w:line="276"/>
        <w:jc w:val="both"/>
      </w:pPr>
      <w:r>
        <w:rPr>
          <w:rFonts w:ascii="Times New Roman" w:hAnsi="Times New Roman"/>
          <w:b/>
          <w:color w:val="1E293B"/>
          <w:sz w:val="24"/>
        </w:rPr>
        <w:t xml:space="preserve">- </w:t>
      </w:r>
      <w:r>
        <w:rPr>
          <w:rFonts w:ascii="Times New Roman" w:hAnsi="Times New Roman"/>
          <w:color w:val="1E293B"/>
          <w:sz w:val="24"/>
        </w:rPr>
        <w:t xml:space="preserve"> Huấn luyện nâng cấp notebook Kaggle với Ben Graham 384x384, Smoothed Loss, EMA và Threshold Tuning: Hoàn thành 100%.</w:t>
      </w:r>
    </w:p>
    <w:p>
      <w:pPr>
        <w:pStyle w:val="ListBullet"/>
        <w:spacing w:before="20" w:after="60" w:lineRule="auto" w:line="276"/>
        <w:jc w:val="both"/>
      </w:pPr>
      <w:r>
        <w:rPr>
          <w:rFonts w:ascii="Times New Roman" w:hAnsi="Times New Roman"/>
          <w:b/>
          <w:color w:val="1E293B"/>
          <w:sz w:val="24"/>
        </w:rPr>
        <w:t xml:space="preserve">- </w:t>
      </w:r>
      <w:r>
        <w:rPr>
          <w:rFonts w:ascii="Times New Roman" w:hAnsi="Times New Roman"/>
          <w:color w:val="1E293B"/>
          <w:sz w:val="24"/>
        </w:rPr>
        <w:t xml:space="preserve"> Thực nghiệm mô hình thứ bậc lai Hybrid CE + EMD Loss, StratifiedGroupKFold theo bệnh nhân và tối ưu ngưỡng (v5.4): Hoàn thành 100% (thiết lập kỷ lục QWK 0.7428).</w:t>
      </w:r>
    </w:p>
    <w:p>
      <w:pPr>
        <w:pStyle w:val="ListBullet"/>
        <w:spacing w:before="20" w:after="60" w:lineRule="auto" w:line="276"/>
        <w:jc w:val="both"/>
      </w:pPr>
      <w:r>
        <w:rPr>
          <w:rFonts w:ascii="Times New Roman" w:hAnsi="Times New Roman"/>
          <w:b/>
          <w:color w:val="1E293B"/>
          <w:sz w:val="24"/>
        </w:rPr>
        <w:t xml:space="preserve">- </w:t>
      </w:r>
      <w:r>
        <w:rPr>
          <w:rFonts w:ascii="Times New Roman" w:hAnsi="Times New Roman"/>
          <w:color w:val="1E293B"/>
          <w:sz w:val="24"/>
        </w:rPr>
        <w:t xml:space="preserve"> Thiết kế, huấn luyện và đánh giá định lượng Cổng kiểm duyệt đầu vào Fundus Gate (MobileNetV3): Hoàn thành 100%.</w:t>
      </w:r>
    </w:p>
    <w:p>
      <w:pPr>
        <w:pStyle w:val="ListBullet"/>
        <w:spacing w:before="20" w:after="60" w:lineRule="auto" w:line="276"/>
        <w:jc w:val="both"/>
      </w:pPr>
      <w:r>
        <w:rPr>
          <w:rFonts w:ascii="Times New Roman" w:hAnsi="Times New Roman"/>
          <w:b/>
          <w:color w:val="1E293B"/>
          <w:sz w:val="24"/>
        </w:rPr>
        <w:t xml:space="preserve">- </w:t>
      </w:r>
      <w:r>
        <w:rPr>
          <w:rFonts w:ascii="Times New Roman" w:hAnsi="Times New Roman"/>
          <w:color w:val="1E293B"/>
          <w:sz w:val="24"/>
        </w:rPr>
        <w:t xml:space="preserve"> Khảo sát y văn và xây dựng Bảng đối sánh định lượng Benchmark Matrix trên tập EyePACS: Hoàn thành 100%.</w:t>
      </w:r>
    </w:p>
    <w:p>
      <w:pPr>
        <w:pStyle w:val="ListBullet"/>
        <w:spacing w:before="20" w:after="60" w:lineRule="auto" w:line="276"/>
        <w:jc w:val="both"/>
      </w:pPr>
      <w:r>
        <w:rPr>
          <w:rFonts w:ascii="Times New Roman" w:hAnsi="Times New Roman"/>
          <w:b/>
          <w:color w:val="1E293B"/>
          <w:sz w:val="24"/>
        </w:rPr>
        <w:t xml:space="preserve">- </w:t>
      </w:r>
      <w:r>
        <w:rPr>
          <w:rFonts w:ascii="Times New Roman" w:hAnsi="Times New Roman"/>
          <w:color w:val="1E293B"/>
          <w:sz w:val="24"/>
        </w:rPr>
        <w:t xml:space="preserve"> Luận giải khoa học các ưu điểm vượt trội (R2) và phân tích khách quan các hạn chế thực nghiệm (R3): Hoàn thành 100%.</w:t>
      </w:r>
    </w:p>
    <w:p>
      <w:pPr>
        <w:pStyle w:val="ListBullet"/>
        <w:spacing w:before="20" w:after="60" w:lineRule="auto" w:line="276"/>
        <w:jc w:val="both"/>
      </w:pPr>
      <w:r>
        <w:rPr>
          <w:rFonts w:ascii="Times New Roman" w:hAnsi="Times New Roman"/>
          <w:b/>
          <w:color w:val="1E293B"/>
          <w:sz w:val="24"/>
        </w:rPr>
        <w:t xml:space="preserve">- </w:t>
      </w:r>
      <w:r>
        <w:rPr>
          <w:rFonts w:ascii="Times New Roman" w:hAnsi="Times New Roman"/>
          <w:color w:val="1E293B"/>
          <w:sz w:val="24"/>
        </w:rPr>
        <w:t xml:space="preserve"> Đóng gói hoàn chỉnh ứng dụng Web RetinaGuard AI (FastAPI + React) và vận hành Cloudflare Tunnel: Hoàn thành 100%.</w:t>
      </w:r>
    </w:p>
    <w:p>
      <w:pPr>
        <w:pStyle w:val="ListBullet"/>
        <w:spacing w:before="20" w:after="60" w:lineRule="auto" w:line="276"/>
        <w:jc w:val="both"/>
      </w:pPr>
      <w:r>
        <w:rPr>
          <w:rFonts w:ascii="Times New Roman" w:hAnsi="Times New Roman"/>
          <w:b/>
          <w:color w:val="1E293B"/>
          <w:sz w:val="24"/>
        </w:rPr>
        <w:t xml:space="preserve">- </w:t>
      </w:r>
      <w:r>
        <w:rPr>
          <w:rFonts w:ascii="Times New Roman" w:hAnsi="Times New Roman"/>
          <w:color w:val="1E293B"/>
          <w:sz w:val="24"/>
        </w:rPr>
        <w:t xml:space="preserve"> Soạn thảo báo cáo tiến độ tuần chuẩn quy cách Khoa CNTT - HUIT và lưu trữ toàn vẹn mã nguồn trên GitHub: Hoàn thành 100%.</w:t>
      </w:r>
    </w:p>
    <w:p>
      <w:pPr>
        <w:keepNext/>
        <w:spacing w:before="240" w:after="80"/>
      </w:pPr>
      <w:r>
        <w:rPr>
          <w:rFonts w:ascii="Times New Roman" w:hAnsi="Times New Roman"/>
          <w:b/>
          <w:color w:val="2563EB"/>
          <w:sz w:val="25"/>
        </w:rPr>
        <w:t>5.2. Kế hoạch công tác trọng tâm tuần tiếp theo (05/10/2026 – 12/10/2026)</w:t>
      </w:r>
    </w:p>
    <w:p>
      <w:pPr>
        <w:pStyle w:val="ListBullet"/>
        <w:spacing w:before="20" w:after="60" w:lineRule="auto" w:line="276"/>
        <w:jc w:val="both"/>
      </w:pPr>
      <w:r>
        <w:rPr>
          <w:rFonts w:ascii="Times New Roman" w:hAnsi="Times New Roman"/>
          <w:b/>
          <w:color w:val="1E293B"/>
          <w:sz w:val="24"/>
        </w:rPr>
        <w:t>1. Nâng cấp mô hình Hybrid Ordinal lên độ phân giải 384x384:</w:t>
      </w:r>
      <w:r>
        <w:rPr>
          <w:rFonts w:ascii="Times New Roman" w:hAnsi="Times New Roman"/>
          <w:color w:val="1E293B"/>
          <w:sz w:val="24"/>
        </w:rPr>
        <w:t xml:space="preserve"> Kết hợp giải pháp tối ưu thứ bậc lai (Hybrid Ordinal Loss + Threshold Tuning) với độ phân giải cao 384x384 nhằm đồng thời tối đa hóa QWK (&gt;0.76) và cải thiện khả năng phát hiện vi phình mạch ở Lớp 1.</w:t>
      </w:r>
    </w:p>
    <w:p>
      <w:pPr>
        <w:pStyle w:val="ListBullet"/>
        <w:spacing w:before="20" w:after="60" w:lineRule="auto" w:line="276"/>
        <w:jc w:val="both"/>
      </w:pPr>
      <w:r>
        <w:rPr>
          <w:rFonts w:ascii="Times New Roman" w:hAnsi="Times New Roman"/>
          <w:b/>
          <w:color w:val="1E293B"/>
          <w:sz w:val="24"/>
        </w:rPr>
        <w:t>2. Kiểm chứng chéo đa trung tâm ngoài (Messidor-2 &amp; APTOS 2019):</w:t>
      </w:r>
      <w:r>
        <w:rPr>
          <w:rFonts w:ascii="Times New Roman" w:hAnsi="Times New Roman"/>
          <w:color w:val="1E293B"/>
          <w:sz w:val="24"/>
        </w:rPr>
        <w:t xml:space="preserve"> Thu thập và tiến hành kiểm chứng chéo độc lập ngoại kiểm (External Cross-Dataset Validation) trên hai bộ dữ liệu quốc tế đa trung tâm: Messidor-2 (Pháp, 1,748 ảnh) và APTOS 2019 (Ấn Độ, 3,662 ảnh) để đánh giá khả năng tổng quát hóa khi thay đổi thiết bị chụp đáy mắt.</w:t>
      </w:r>
    </w:p>
    <w:p>
      <w:pPr>
        <w:pStyle w:val="ListBullet"/>
        <w:spacing w:before="20" w:after="60" w:lineRule="auto" w:line="276"/>
        <w:jc w:val="both"/>
      </w:pPr>
      <w:r>
        <w:rPr>
          <w:rFonts w:ascii="Times New Roman" w:hAnsi="Times New Roman"/>
          <w:b/>
          <w:color w:val="1E293B"/>
          <w:sz w:val="24"/>
        </w:rPr>
        <w:t>3. Lượng tử hóa và tối ưu hóa suy luận (Model Quantization):</w:t>
      </w:r>
      <w:r>
        <w:rPr>
          <w:rFonts w:ascii="Times New Roman" w:hAnsi="Times New Roman"/>
          <w:color w:val="1E293B"/>
          <w:sz w:val="24"/>
        </w:rPr>
        <w:t xml:space="preserve"> Triển khai các kỹ thuật tối ưu hóa mô hình gồm Lượng tử hóa động (INT8 Dynamic Quantization) và TorchScript nhằm giảm dung lượng tệp trọng số ViT-B/16 từ 343 MB xuống dưới 100 MB và tăng tốc độ suy luận CPU lên gấp 2-3 lần.</w:t>
      </w:r>
    </w:p>
    <w:p>
      <w:pPr>
        <w:pStyle w:val="ListBullet"/>
        <w:spacing w:before="20" w:after="60" w:lineRule="auto" w:line="276"/>
        <w:jc w:val="both"/>
      </w:pPr>
      <w:r>
        <w:rPr>
          <w:rFonts w:ascii="Times New Roman" w:hAnsi="Times New Roman"/>
          <w:b/>
          <w:color w:val="1E293B"/>
          <w:sz w:val="24"/>
        </w:rPr>
        <w:t>4. Soạn thảo văn bản Khóa luận tốt nghiệp:</w:t>
      </w:r>
      <w:r>
        <w:rPr>
          <w:rFonts w:ascii="Times New Roman" w:hAnsi="Times New Roman"/>
          <w:color w:val="1E293B"/>
          <w:sz w:val="24"/>
        </w:rPr>
        <w:t xml:space="preserve"> Soạn thảo hoàn thiện bản thảo Chương 4 (Thực nghiệm và Đánh giá kết quả) trong cuốn Khóa luận tốt nghiệp theo đúng biểu mẫu học thuật quy định của Khoa Công nghệ Thông tin - Trường Đại học Công Thương TP.HCM.</w:t>
      </w:r>
    </w:p>
    <w:p>
      <w:pPr>
        <w:pStyle w:val="ListBullet"/>
        <w:spacing w:before="20" w:after="60" w:lineRule="auto" w:line="276"/>
        <w:jc w:val="both"/>
      </w:pPr>
      <w:r>
        <w:rPr>
          <w:rFonts w:ascii="Times New Roman" w:hAnsi="Times New Roman"/>
          <w:b/>
          <w:color w:val="1E293B"/>
          <w:sz w:val="24"/>
        </w:rPr>
        <w:t>5. Báo cáo và xin ý kiến GVHD:</w:t>
      </w:r>
      <w:r>
        <w:rPr>
          <w:rFonts w:ascii="Times New Roman" w:hAnsi="Times New Roman"/>
          <w:color w:val="1E293B"/>
          <w:sz w:val="24"/>
        </w:rPr>
        <w:t xml:space="preserve"> Báo cáo trực tiếp tiến độ tuần với Giảng viên hướng dẫn ThS. Trần Đình Toàn để tiếp thu định hướng chuyên môn và chuẩn bị cho các đợt duyệt đề tài tiếp theo.</w:t>
      </w:r>
    </w:p>
    <w:p>
      <w:pPr>
        <w:keepNext/>
        <w:spacing w:before="320" w:after="120"/>
      </w:pPr>
      <w:r>
        <w:rPr>
          <w:rFonts w:ascii="Times New Roman" w:hAnsi="Times New Roman"/>
          <w:b/>
          <w:color w:val="102C57"/>
          <w:sz w:val="27"/>
        </w:rPr>
        <w:t>6. XÁC NHẬN CỦA GIẢNG VIÊN HƯỚNG DẪN VÀ ĐẠI DIỆN SINH VIÊN</w:t>
      </w:r>
    </w:p>
    <w:p>
      <w:pPr>
        <w:spacing w:after="120"/>
      </w:pPr>
    </w:p>
    <w:tbl>
      <w:tblPr>
        <w:tblW w:type="auto" w:w="0"/>
        <w:jc w:val="center"/>
        <w:tblLook w:firstColumn="1" w:firstRow="1" w:lastColumn="0" w:lastRow="0" w:noHBand="0" w:noVBand="1" w:val="04A0"/>
      </w:tblPr>
      <w:tblGrid>
        <w:gridCol w:w="4252"/>
        <w:gridCol w:w="4252"/>
      </w:tblGrid>
      <w:tr>
        <w:trPr>
          <w:tblHeader/>
          <w:cantSplit/>
        </w:trPr>
        <w:tc>
          <w:tcPr>
            <w:tcW w:type="dxa" w:w="4252"/>
            <w:shd w:fill="FFFFFF"/>
            <w:tcBorders>
              <w:top w:val="none" w:sz="4" w:space="0" w:color="auto"/>
              <w:bottom w:val="none" w:sz="4" w:space="0" w:color="auto"/>
              <w:left w:val="none" w:sz="4" w:space="0" w:color="auto"/>
              <w:right w:val="none" w:sz="4" w:space="0" w:color="auto"/>
            </w:tcBorders>
            <w:tcMar>
              <w:top w:w="80" w:type="dxa"/>
              <w:bottom w:w="80" w:type="dxa"/>
              <w:left w:w="100" w:type="dxa"/>
              <w:right w:w="100" w:type="dxa"/>
            </w:tcMar>
          </w:tcPr>
          <w:p>
            <w:pPr>
              <w:spacing w:before="0" w:after="0" w:line="276" w:lineRule="auto"/>
              <w:jc w:val="center"/>
            </w:pPr>
            <w:r>
              <w:rPr>
                <w:rFonts w:ascii="Times New Roman" w:hAnsi="Times New Roman"/>
                <w:b/>
                <w:color w:val="102C57"/>
                <w:sz w:val="22"/>
              </w:rPr>
              <w:t>XÁC NHẬN CỦA GIẢNG VIÊN HƯỚNG DẪN</w:t>
              <w:br/>
            </w:r>
            <w:r>
              <w:rPr>
                <w:rFonts w:ascii="Times New Roman" w:hAnsi="Times New Roman"/>
                <w:i/>
                <w:color w:val="64748B"/>
                <w:sz w:val="20"/>
              </w:rPr>
              <w:t>(Ký và ghi rõ họ tên)</w:t>
              <w:br/>
              <w:br/>
              <w:br/>
              <w:br/>
              <w:br/>
              <w:br/>
            </w:r>
            <w:r>
              <w:rPr>
                <w:rFonts w:ascii="Times New Roman" w:hAnsi="Times New Roman"/>
                <w:b/>
                <w:color w:val="102C57"/>
                <w:sz w:val="24"/>
              </w:rPr>
              <w:t>ThS. Trần Đình Toàn</w:t>
            </w:r>
          </w:p>
        </w:tc>
        <w:tc>
          <w:tcPr>
            <w:tcW w:type="dxa" w:w="4252"/>
            <w:shd w:fill="FFFFFF"/>
            <w:tcBorders>
              <w:top w:val="none" w:sz="4" w:space="0" w:color="auto"/>
              <w:bottom w:val="none" w:sz="4" w:space="0" w:color="auto"/>
              <w:left w:val="none" w:sz="4" w:space="0" w:color="auto"/>
              <w:right w:val="none" w:sz="4" w:space="0" w:color="auto"/>
            </w:tcBorders>
            <w:tcMar>
              <w:top w:w="80" w:type="dxa"/>
              <w:bottom w:w="80" w:type="dxa"/>
              <w:left w:w="100" w:type="dxa"/>
              <w:right w:w="100" w:type="dxa"/>
            </w:tcMar>
          </w:tcPr>
          <w:p>
            <w:pPr>
              <w:spacing w:before="0" w:after="0" w:line="276" w:lineRule="auto"/>
              <w:jc w:val="center"/>
            </w:pPr>
            <w:r>
              <w:rPr>
                <w:rFonts w:ascii="Times New Roman" w:hAnsi="Times New Roman"/>
                <w:i/>
                <w:color w:val="1E293B"/>
                <w:sz w:val="21"/>
              </w:rPr>
              <w:t>TP. Hồ Chí Minh, ngày 05 tháng 10 năm 2026</w:t>
              <w:br/>
            </w:r>
            <w:r>
              <w:rPr>
                <w:rFonts w:ascii="Times New Roman" w:hAnsi="Times New Roman"/>
                <w:b/>
                <w:color w:val="102C57"/>
                <w:sz w:val="22"/>
              </w:rPr>
              <w:t>ĐẠI DIỆN NHÓM SINH VIÊN THỰC HIỆN</w:t>
              <w:br/>
            </w:r>
            <w:r>
              <w:rPr>
                <w:rFonts w:ascii="Times New Roman" w:hAnsi="Times New Roman"/>
                <w:i/>
                <w:color w:val="64748B"/>
                <w:sz w:val="20"/>
              </w:rPr>
              <w:t>(Ký và ghi rõ họ tên)</w:t>
              <w:br/>
              <w:br/>
              <w:br/>
              <w:br/>
              <w:br/>
            </w:r>
            <w:r>
              <w:rPr>
                <w:rFonts w:ascii="Times New Roman" w:hAnsi="Times New Roman"/>
                <w:b/>
                <w:color w:val="102C57"/>
                <w:sz w:val="24"/>
              </w:rPr>
              <w:t>Nguyễn Huy Thanh</w:t>
            </w:r>
          </w:p>
        </w:tc>
      </w:tr>
    </w:tbl>
    <w:p>
      <w:pPr>
        <w:spacing w:after="240"/>
      </w:pPr>
    </w:p>
    <w:p>
      <w:pPr>
        <w:keepNext/>
        <w:spacing w:before="320" w:after="120"/>
      </w:pPr>
      <w:r>
        <w:rPr>
          <w:rFonts w:ascii="Times New Roman" w:hAnsi="Times New Roman"/>
          <w:b/>
          <w:color w:val="102C57"/>
          <w:sz w:val="27"/>
        </w:rPr>
        <w:t>7. DANH MỤC TÀI LIỆU THAM KHẢO CHUẨN MỰC</w:t>
      </w:r>
    </w:p>
    <w:p>
      <w:pPr>
        <w:spacing w:before="20" w:after="40" w:lineRule="auto" w:line="288"/>
        <w:ind w:left="454"/>
        <w:jc w:val="both"/>
      </w:pPr>
      <w:r>
        <w:rPr>
          <w:rFonts w:ascii="Times New Roman" w:hAnsi="Times New Roman"/>
          <w:b/>
          <w:i w:val="0"/>
          <w:color w:val="1E293B"/>
          <w:sz w:val="24"/>
        </w:rPr>
        <w:t xml:space="preserve">[1] Graham, B. (2015). </w:t>
      </w:r>
      <w:r>
        <w:rPr>
          <w:rFonts w:ascii="Times New Roman" w:hAnsi="Times New Roman"/>
          <w:i/>
          <w:color w:val="1E293B"/>
          <w:sz w:val="22"/>
        </w:rPr>
        <w:t>Kaggle Diabetic Retinopathy Detection Competition, 1st Place Solution Report. Kaggle Blog &amp; Warwick University Technical Report.</w:t>
      </w:r>
    </w:p>
    <w:p>
      <w:pPr>
        <w:spacing w:before="20" w:after="40" w:lineRule="auto" w:line="288"/>
        <w:ind w:left="454"/>
        <w:jc w:val="both"/>
      </w:pPr>
      <w:r>
        <w:rPr>
          <w:rFonts w:ascii="Times New Roman" w:hAnsi="Times New Roman"/>
          <w:b/>
          <w:i w:val="0"/>
          <w:color w:val="1E293B"/>
          <w:sz w:val="24"/>
        </w:rPr>
        <w:t xml:space="preserve">[2] Gulshan, V., Peng, L., Coram, M., et al. (2016). </w:t>
      </w:r>
      <w:r>
        <w:rPr>
          <w:rFonts w:ascii="Times New Roman" w:hAnsi="Times New Roman"/>
          <w:i/>
          <w:color w:val="1E293B"/>
          <w:sz w:val="22"/>
        </w:rPr>
        <w:t>Development and Validation of a Deep Learning Algorithm for Detection of Diabetic Retinopathy in Retinal Fundus Photographs. JAMA, 316(22), 2402–2410. doi:10.1001/jama.2016.17216.</w:t>
      </w:r>
    </w:p>
    <w:p>
      <w:pPr>
        <w:spacing w:before="20" w:after="40" w:lineRule="auto" w:line="288"/>
        <w:ind w:left="454"/>
        <w:jc w:val="both"/>
      </w:pPr>
      <w:r>
        <w:rPr>
          <w:rFonts w:ascii="Times New Roman" w:hAnsi="Times New Roman"/>
          <w:b/>
          <w:i w:val="0"/>
          <w:color w:val="1E293B"/>
          <w:sz w:val="24"/>
        </w:rPr>
        <w:t xml:space="preserve">[3] Pratt, H., Coenen, F., Broadbent, D. M., Harding, S. P., &amp; Zheng, Y. (2016). </w:t>
      </w:r>
      <w:r>
        <w:rPr>
          <w:rFonts w:ascii="Times New Roman" w:hAnsi="Times New Roman"/>
          <w:i/>
          <w:color w:val="1E293B"/>
          <w:sz w:val="22"/>
        </w:rPr>
        <w:t>Convolutional Neural Networks for Diabetic Retinopathy. Procedia Computer Science, 90, 200–205.</w:t>
      </w:r>
    </w:p>
    <w:p>
      <w:pPr>
        <w:spacing w:before="20" w:after="40" w:lineRule="auto" w:line="288"/>
        <w:ind w:left="454"/>
        <w:jc w:val="both"/>
      </w:pPr>
      <w:r>
        <w:rPr>
          <w:rFonts w:ascii="Times New Roman" w:hAnsi="Times New Roman"/>
          <w:b/>
          <w:i w:val="0"/>
          <w:color w:val="1E293B"/>
          <w:sz w:val="24"/>
        </w:rPr>
        <w:t xml:space="preserve">[4] Vo, H. H., &amp; Verma, A. (2016). </w:t>
      </w:r>
      <w:r>
        <w:rPr>
          <w:rFonts w:ascii="Times New Roman" w:hAnsi="Times New Roman"/>
          <w:i/>
          <w:color w:val="1E293B"/>
          <w:sz w:val="22"/>
        </w:rPr>
        <w:t>New Deep Neural Nets for Fine-Grained Diabetic Retinopathy Recognition on Hybrid Color Space. In 2016 IEEE International Symposium on Multimedia (ISM) (pp. 35–40). IEEE.</w:t>
      </w:r>
    </w:p>
    <w:p>
      <w:pPr>
        <w:spacing w:before="20" w:after="40" w:lineRule="auto" w:line="288"/>
        <w:ind w:left="454"/>
        <w:jc w:val="both"/>
      </w:pPr>
      <w:r>
        <w:rPr>
          <w:rFonts w:ascii="Times New Roman" w:hAnsi="Times New Roman"/>
          <w:b/>
          <w:i w:val="0"/>
          <w:color w:val="1E293B"/>
          <w:sz w:val="24"/>
        </w:rPr>
        <w:t xml:space="preserve">[5] He, A., Li, T., Li, N., Wang, K., &amp; Rong, H. (2021). </w:t>
      </w:r>
      <w:r>
        <w:rPr>
          <w:rFonts w:ascii="Times New Roman" w:hAnsi="Times New Roman"/>
          <w:i/>
          <w:color w:val="1E293B"/>
          <w:sz w:val="22"/>
        </w:rPr>
        <w:t>CABNet: Category Attention Block for Imbalanced Diabetic Retinopathy Grading. IEEE Transactions on Medical Imaging, 40(1), 143–153.</w:t>
      </w:r>
    </w:p>
    <w:p>
      <w:pPr>
        <w:spacing w:before="20" w:after="40" w:lineRule="auto" w:line="288"/>
        <w:ind w:left="454"/>
        <w:jc w:val="both"/>
      </w:pPr>
      <w:r>
        <w:rPr>
          <w:rFonts w:ascii="Times New Roman" w:hAnsi="Times New Roman"/>
          <w:b/>
          <w:i w:val="0"/>
          <w:color w:val="1E293B"/>
          <w:sz w:val="24"/>
        </w:rPr>
        <w:t xml:space="preserve">[6] Sun, R., Li, Y., Zhang, T., Mao, Z., Wu, F., &amp; Zhang, Y. (2021). </w:t>
      </w:r>
      <w:r>
        <w:rPr>
          <w:rFonts w:ascii="Times New Roman" w:hAnsi="Times New Roman"/>
          <w:i/>
          <w:color w:val="1E293B"/>
          <w:sz w:val="22"/>
        </w:rPr>
        <w:t>Lesion-Aware Transformers for Diabetic Retinopathy Grading. In Proceedings of the IEEE/CVF Conference on Computer Vision and Pattern Recognition (CVPR) (pp. 10938–10947).</w:t>
      </w:r>
    </w:p>
    <w:p>
      <w:pPr>
        <w:spacing w:before="20" w:after="40" w:lineRule="auto" w:line="288"/>
        <w:ind w:left="454"/>
        <w:jc w:val="both"/>
      </w:pPr>
      <w:r>
        <w:rPr>
          <w:rFonts w:ascii="Times New Roman" w:hAnsi="Times New Roman"/>
          <w:b/>
          <w:i w:val="0"/>
          <w:color w:val="1E293B"/>
          <w:sz w:val="24"/>
        </w:rPr>
        <w:t xml:space="preserve">[7] Huang, Y., Lin, L., Cheng, P., Lyu, J., &amp; Tang, X. (2021). </w:t>
      </w:r>
      <w:r>
        <w:rPr>
          <w:rFonts w:ascii="Times New Roman" w:hAnsi="Times New Roman"/>
          <w:i/>
          <w:color w:val="1E293B"/>
          <w:sz w:val="22"/>
        </w:rPr>
        <w:t>Identifying the key components in ResNet-50 for diabetic retinopathy grading from fundus images. Medical Image Analysis, 70, 102008.</w:t>
      </w:r>
    </w:p>
    <w:p>
      <w:pPr>
        <w:spacing w:before="20" w:after="40" w:lineRule="auto" w:line="288"/>
        <w:ind w:left="454"/>
        <w:jc w:val="both"/>
      </w:pPr>
      <w:r>
        <w:rPr>
          <w:rFonts w:ascii="Times New Roman" w:hAnsi="Times New Roman"/>
          <w:b/>
          <w:i w:val="0"/>
          <w:color w:val="1E293B"/>
          <w:sz w:val="24"/>
        </w:rPr>
        <w:t xml:space="preserve">[8] Chefer, H., Gur, S., &amp; Wolf, L. (2021). </w:t>
      </w:r>
      <w:r>
        <w:rPr>
          <w:rFonts w:ascii="Times New Roman" w:hAnsi="Times New Roman"/>
          <w:i/>
          <w:color w:val="1E293B"/>
          <w:sz w:val="22"/>
        </w:rPr>
        <w:t>Transformer Interpretability Beyond Attention Visualization. In Proceedings of the IEEE/CVF Conference on Computer Vision and Pattern Recognition (CVPR) (pp. 782–791).</w:t>
      </w:r>
    </w:p>
    <w:p>
      <w:pPr>
        <w:spacing w:before="20" w:after="40" w:lineRule="auto" w:line="288"/>
        <w:ind w:left="454"/>
        <w:jc w:val="both"/>
      </w:pPr>
      <w:r>
        <w:rPr>
          <w:rFonts w:ascii="Times New Roman" w:hAnsi="Times New Roman"/>
          <w:b/>
          <w:i w:val="0"/>
          <w:color w:val="1E293B"/>
          <w:sz w:val="24"/>
        </w:rPr>
        <w:t xml:space="preserve">[9] Dosovitskiy, A., et al. (2020). </w:t>
      </w:r>
      <w:r>
        <w:rPr>
          <w:rFonts w:ascii="Times New Roman" w:hAnsi="Times New Roman"/>
          <w:i/>
          <w:color w:val="1E293B"/>
          <w:sz w:val="22"/>
        </w:rPr>
        <w:t>An Image is Worth 16x16 Words: Transformers for Image Recognition at Scale. In International Conference on Learning Representations (ICLR 2021).</w:t>
      </w:r>
    </w:p>
    <w:p>
      <w:pPr>
        <w:spacing w:before="20" w:after="40" w:lineRule="auto" w:line="288"/>
        <w:ind w:left="454"/>
        <w:jc w:val="both"/>
      </w:pPr>
      <w:r>
        <w:rPr>
          <w:rFonts w:ascii="Times New Roman" w:hAnsi="Times New Roman"/>
          <w:b/>
          <w:i w:val="0"/>
          <w:color w:val="1E293B"/>
          <w:sz w:val="24"/>
        </w:rPr>
        <w:t xml:space="preserve">[10] He, K., Zhang, X., Ren, S., &amp; Sun, J. (2016). </w:t>
      </w:r>
      <w:r>
        <w:rPr>
          <w:rFonts w:ascii="Times New Roman" w:hAnsi="Times New Roman"/>
          <w:i/>
          <w:color w:val="1E293B"/>
          <w:sz w:val="22"/>
        </w:rPr>
        <w:t>Deep Residual Learning for Image Recognition. In Proceedings of the IEEE Conference on Computer Vision and Pattern Recognition (CVPR) (pp. 770–778).</w:t>
      </w:r>
    </w:p>
    <w:sectPr w:rsidR="00FC693F" w:rsidRPr="0006063C" w:rsidSect="00034616">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