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Comparative Advantage and the Losers of Labor: Women and Wages in the Global South</w:t>
      </w:r>
    </w:p>
    <w:p w:rsidR="00000000" w:rsidDel="00000000" w:rsidP="00000000" w:rsidRDefault="00000000" w:rsidRPr="00000000" w14:paraId="00000002">
      <w:pPr>
        <w:spacing w:line="480" w:lineRule="auto"/>
        <w:ind w:firstLine="720"/>
        <w:rPr/>
      </w:pPr>
      <w:r w:rsidDel="00000000" w:rsidR="00000000" w:rsidRPr="00000000">
        <w:rPr>
          <w:b w:val="1"/>
          <w:bCs w:val="1"/>
          <w:rtl w:val="0"/>
        </w:rPr>
        <w:t xml:space="preserve">With the rise of neoliberalism in the modern world, companies (especially in wealthy countries) have enjoyed an excess of cheap labor that was by no means easily accessible before through the practice of outsourcing.  </w:t>
      </w:r>
      <w:r w:rsidDel="00000000" w:rsidR="00000000" w:rsidRPr="00000000">
        <w:rPr>
          <w:rtl w:val="0"/>
        </w:rPr>
        <w:t xml:space="preserve">Although great for production costs, allowing corporations to supply consumers with goods at a lower price, it ignores those who are losing out in the process.  This becomes evident when observed through a global intimate lens, as these cheap prices are the result of comparative advantage and wage cuts in the Global South, as those in poverty must accept what they get, or face the prospect of the company who employs them simply bolting town for a cheaper opportunity elsewhere.  Therefore, individuals inside Export Processing Zones (EPZs) are forced to either live on minuscule wages or resort to criminal activity in order to survive.</w:t>
      </w:r>
    </w:p>
    <w:p w:rsidR="00000000" w:rsidDel="00000000" w:rsidP="00000000" w:rsidRDefault="00000000" w:rsidRPr="00000000" w14:paraId="00000003">
      <w:pPr>
        <w:spacing w:line="480" w:lineRule="auto"/>
        <w:ind w:firstLine="720"/>
        <w:rPr/>
      </w:pPr>
      <w:bookmarkStart w:colFirst="0" w:colLast="0" w:name="_8laqddyi9vcg" w:id="0"/>
      <w:bookmarkEnd w:id="0"/>
      <w:r w:rsidDel="00000000" w:rsidR="00000000" w:rsidRPr="00000000">
        <w:rPr>
          <w:rtl w:val="0"/>
        </w:rPr>
        <w:t xml:space="preserve">The disparity stemming from all this abundant labor and production outsourcing is especially burdened by women, who earn lower wages than men for the same work.  </w:t>
      </w:r>
      <w:r w:rsidDel="00000000" w:rsidR="00000000" w:rsidRPr="00000000">
        <w:rPr>
          <w:b w:val="1"/>
          <w:bCs w:val="1"/>
          <w:rtl w:val="0"/>
        </w:rPr>
        <w:t xml:space="preserve">These women suffer from this extra discrimination in large part because of social constructs and preconceived stereotypes which “devalue their labor and their lives as a woman and as human beings.”  </w:t>
      </w:r>
      <w:r w:rsidDel="00000000" w:rsidR="00000000" w:rsidRPr="00000000">
        <w:rPr>
          <w:rtl w:val="0"/>
        </w:rPr>
        <w:t xml:space="preserve">As shown in Wright’s article on maquiladora workers in Ciudad Juárez, factory owners and the police worked in a synchronized fashion to help maintain this institution.  This happened simultaneously as corporations took advantage of women’s perceived “docile” nature by offering lower wages (and kicking them to the curb when a cheaper prospect showed up), while law enforcement degraded the humanity of honest workers by assuming their involvement in the town’s prostitution culture as the reason for their abduction and murder.  Similarly to Wright Enloe focuses on social constructs, but instead focuses on how </w:t>
      </w:r>
      <w:r w:rsidDel="00000000" w:rsidR="00000000" w:rsidRPr="00000000">
        <w:rPr>
          <w:b w:val="1"/>
          <w:bCs w:val="1"/>
          <w:rtl w:val="0"/>
        </w:rPr>
        <w:t xml:space="preserve">multi-national corporations use advertising to fool women in developing nations into thinking having these factories abroad means progress.</w:t>
      </w:r>
      <w:r w:rsidDel="00000000" w:rsidR="00000000" w:rsidRPr="00000000">
        <w:rPr>
          <w:rtl w:val="0"/>
        </w:rPr>
        <w:t xml:space="preserve">  Russia is the example she uses, as women under the poverty line would “spend two months’ salary” just to buy Reebok shoes they felt represented “new Russia.”  Regardless, the issue remains that in the modern world of free trade our policies must exhibit respect for all people, because just because the rich are getting richer doesn’t mean the rest of us are.</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b w:val="1"/>
          <w:bCs w:val="1"/>
        </w:rPr>
      </w:pPr>
      <w:r w:rsidDel="00000000" w:rsidR="00000000" w:rsidRPr="00000000">
        <w:rPr>
          <w:b w:val="1"/>
          <w:bCs w:val="1"/>
          <w:rtl w:val="0"/>
        </w:rPr>
        <w:t xml:space="preserve">In Wright’s case study example, is the way law enforcement reacts a result of them pushing aside women’s well-being for their self-interest or a reflection of Mexico’s corruption?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