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hyperlink r:id="rId6">
        <w:r w:rsidDel="00000000" w:rsidR="00000000" w:rsidRPr="00000000">
          <w:rPr>
            <w:color w:val="0563c1"/>
            <w:u w:val="single"/>
            <w:rtl w:val="0"/>
          </w:rPr>
          <w:t xml:space="preserve">https://www.cnn.com/2018/09/21/uk/uk-europe-seasonal-workers-brexit-intl/index.html</w:t>
        </w:r>
      </w:hyperlink>
      <w:r w:rsidDel="00000000" w:rsidR="00000000" w:rsidRPr="00000000">
        <w:rPr>
          <w:rtl w:val="0"/>
        </w:rPr>
      </w:r>
    </w:p>
    <w:p w:rsidR="00000000" w:rsidDel="00000000" w:rsidP="00000000" w:rsidRDefault="00000000" w:rsidRPr="00000000" w14:paraId="00000002">
      <w:pPr>
        <w:spacing w:line="480" w:lineRule="auto"/>
        <w:rPr/>
      </w:pPr>
      <w:bookmarkStart w:colFirst="0" w:colLast="0" w:name="_6ppzu5emuf6m" w:id="0"/>
      <w:bookmarkEnd w:id="0"/>
      <w:r w:rsidDel="00000000" w:rsidR="00000000" w:rsidRPr="00000000">
        <w:rPr>
          <w:rtl w:val="0"/>
        </w:rPr>
        <w:tab/>
        <w:tab/>
        <w:t xml:space="preserve">With Brexit talks between Brussels and the UK currently still in the stage of negotiation, certain domestic industries such as horticulture have already begun to "feel the squeeze" in terms of finding cheap labor consistently.  This is because a majority of this labor, in the past, had come from Eastern Europeans (Romania and Bulgaria) or from countries outside the EU, all of which were attracted by the strength of the pound and better economic opportunities available to them abroad.  My chosen article does a great job discussing the implications of the prospective split from the EU, explaining how the weakened pound, in combination with negative xenophobic sentiments (not to mention the difficulty in the constant back and forth travel leading to long periods away from family), have led to this decline in labor supply.  While the long-term results of what will come from Brexit once negotiations end is still up in the air, at least for now it seems as it the UK economy (at least certain sectors) is already starting to become crippled relative to its former prominence.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nn.com/2018/09/21/uk/uk-europe-seasonal-workers-brexit-intl/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