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tl w:val="0"/>
        </w:rPr>
        <w:t xml:space="preserve">Austin Humphrey (JAH7324)</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Country</w:t>
      </w:r>
      <w:r w:rsidDel="00000000" w:rsidR="00000000" w:rsidRPr="00000000">
        <w:rPr>
          <w:rFonts w:ascii="Arial" w:cs="Arial" w:eastAsia="Arial" w:hAnsi="Arial"/>
          <w:color w:val="000000"/>
          <w:rtl w:val="0"/>
        </w:rPr>
        <w:t xml:space="preserve">: Germany</w:t>
      </w:r>
    </w:p>
    <w:p w:rsidR="00000000" w:rsidDel="00000000" w:rsidP="00000000" w:rsidRDefault="00000000" w:rsidRPr="00000000" w14:paraId="00000004">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COC</w:t>
      </w:r>
      <w:r w:rsidDel="00000000" w:rsidR="00000000" w:rsidRPr="00000000">
        <w:rPr>
          <w:rFonts w:ascii="Arial" w:cs="Arial" w:eastAsia="Arial" w:hAnsi="Arial"/>
          <w:color w:val="000000"/>
          <w:rtl w:val="0"/>
        </w:rPr>
        <w:t xml:space="preserve">: Nestle</w:t>
      </w:r>
    </w:p>
    <w:p w:rsidR="00000000" w:rsidDel="00000000" w:rsidP="00000000" w:rsidRDefault="00000000" w:rsidRPr="00000000" w14:paraId="00000005">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Balance of Payments Analysis</w:t>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 your country’s BOP statement and attach a copy.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https://www.bundesbank.de/Redaktion/EN/Downloads/Publications/Monthly_Report_Articles/2017/2017_03_balance_of_payments.pdf?__blob=publicationFile</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(Also posting BOP in comments as instructed)</w:t>
        <w:br w:type="textWrapping"/>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Does the country use the basic BOP system format of the IMF system or something different? Can you find any official statement about adoption of the IMF system (try the country’s Central Bank for this type of information)?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Germany does comply with the basic BOP format system laid out by the IMF.  According to the Deutsche Bundesbank Monthly Report from June 2014, adoption of the IMF system was primarily based on the requirement that all EU member countries abide by it.  This is a result of the EU attempting to keep all transaction history simple and easy to compare among members, opposed to each country muddling up the system with varying regulations.  In addition to this, the IMF in conjunction with other international trade organizations (i.e. the UN, OECD, and World Bank) felt that the shift towards free trade and the vast technological innovations of recent years called for an overhaul.  In short, through the adoption of the IMF system Germans (and their trade partners) could facilitate more efficient and better organized trade regulations which they felt would stimulate economic growth for all involved (Deutsche Bundesbank, 2014).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If the country does not use the standard IMF format, what is different in the format used? Describe any major differences and explain why there might be differences if you can (using facts or opinion).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br w:type="textWrapping"/>
        <w:t xml:space="preserve">Not applicable, Germany abides by IMF provisions “with respect to concepts, definitions and the presentation of results” (Deutsche Bank, 2014).</w:t>
        <w:br w:type="textWrapping"/>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are the country’s Balances for Goods/Merchandise Trade, Service Trade, Primary Income, Secondary Income, and the overall Current Account? (Use a minus sign to represent deficits.)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1"/>
        <w:gridCol w:w="5619"/>
        <w:tblGridChange w:id="0">
          <w:tblGrid>
            <w:gridCol w:w="3011"/>
            <w:gridCol w:w="5619"/>
          </w:tblGrid>
        </w:tblGridChange>
      </w:tblGrid>
      <w:tr>
        <w:trPr>
          <w:cantSplit w:val="0"/>
          <w:tblHeader w:val="0"/>
        </w:trPr>
        <w:tc>
          <w:tcPr>
            <w:gridSpan w:val="2"/>
            <w:shd w:fill="000000" w:val="clear"/>
          </w:tcPr>
          <w:p w:rsidR="00000000" w:rsidDel="00000000" w:rsidP="00000000" w:rsidRDefault="00000000" w:rsidRPr="00000000" w14:paraId="00000012">
            <w:pPr>
              <w:jc w:val="center"/>
              <w:rPr>
                <w:rFonts w:ascii="Arial" w:cs="Arial" w:eastAsia="Arial" w:hAnsi="Arial"/>
                <w:i w:val="1"/>
                <w:iCs w:val="1"/>
                <w:color w:val="000000"/>
              </w:rPr>
            </w:pPr>
            <w:r w:rsidDel="00000000" w:rsidR="00000000" w:rsidRPr="00000000">
              <w:rPr>
                <w:rFonts w:ascii="Arial" w:cs="Arial" w:eastAsia="Arial" w:hAnsi="Arial"/>
                <w:i w:val="1"/>
                <w:iCs w:val="1"/>
                <w:color w:val="ffffff"/>
                <w:rtl w:val="0"/>
              </w:rPr>
              <w:t xml:space="preserve">Figure 1: Selected Account Balances </w:t>
              <w:br w:type="textWrapping"/>
              <w:t xml:space="preserve">2016</w:t>
              <w:br w:type="textWrapping"/>
            </w:r>
            <w:r w:rsidDel="00000000" w:rsidR="00000000" w:rsidRPr="00000000">
              <w:rPr>
                <w:rFonts w:ascii="Arial" w:cs="Arial" w:eastAsia="Arial" w:hAnsi="Arial"/>
                <w:i w:val="1"/>
                <w:iCs w:val="1"/>
                <w:color w:val="ffffff"/>
                <w:sz w:val="22"/>
                <w:szCs w:val="22"/>
                <w:rtl w:val="0"/>
              </w:rPr>
              <w:t xml:space="preserve">Billions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Line Item</w:t>
            </w:r>
          </w:p>
        </w:tc>
        <w:tc>
          <w:tcPr>
            <w:shd w:fill="d9d9d9" w:val="clear"/>
          </w:tcPr>
          <w:p w:rsidR="00000000" w:rsidDel="00000000" w:rsidP="00000000" w:rsidRDefault="00000000" w:rsidRPr="00000000" w14:paraId="00000015">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Balance</w:t>
            </w:r>
          </w:p>
        </w:tc>
      </w:tr>
      <w:tr>
        <w:trPr>
          <w:cantSplit w:val="0"/>
          <w:tblHeader w:val="0"/>
        </w:trPr>
        <w:tc>
          <w:tcPr/>
          <w:p w:rsidR="00000000" w:rsidDel="00000000" w:rsidP="00000000" w:rsidRDefault="00000000" w:rsidRPr="00000000" w14:paraId="0000001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Goods/Merchandise Trade</w:t>
            </w:r>
          </w:p>
        </w:tc>
        <w:tc>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+271.7 billion Euro surplus</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Service Trade</w:t>
            </w:r>
          </w:p>
        </w:tc>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-22.5 billion Euro deficit</w:t>
            </w: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Primary Income</w:t>
            </w:r>
          </w:p>
        </w:tc>
        <w:tc>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+56.2 billion Euro surplus</w:t>
            </w: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Secondary Income</w:t>
            </w:r>
          </w:p>
        </w:tc>
        <w:tc>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-40.0 billion Euro deficit</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Current Account</w:t>
            </w:r>
          </w:p>
        </w:tc>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+261.4 billion Euro surplus</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are “off-setting” accounts for any surpluses or balances across the entire BOP statement? (Use the Offsetting slides from the BOP PowerPoint to address this question – (slides #17 and 18 from the lecture), but apply the concept to YOUR country’s balance of payments account.)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The current account is the “off-setting” account which is used to keep the BOP balanced overall even if some sectors are failing to break even.  Overall, Germany still recorded a surplus in its current account balance, but trending downwards in each quarter of 2016 recorded (Deutsche Bundesbank, 2017).  The main account which needed to be offset was the services account, which clocked in at a -22.5 billion Euro deficit.  This, coupled with “the surplus from investment income [that] went down,” has led to the shrinking surplus overall.  The trend looks to continue if Germans are required to import large amounts of services (Deutsche Bundesbank, 2017).</w:t>
      </w:r>
    </w:p>
    <w:p w:rsidR="00000000" w:rsidDel="00000000" w:rsidP="00000000" w:rsidRDefault="00000000" w:rsidRPr="00000000" w14:paraId="00000022">
      <w:pPr>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Using the country’s most recent available full year’s BOP as a guide, track back the two preceding years, then 10 years before the most recent year. You now have four separate BOPs. Check the net balances (inflows and outflows) of key accounts across the years (Goods, Services, Overall Trade, Primary and Secondary Income, Current Account, FDI (Direct and Portfolio), Government Reserves, and debt and loans). Do you see any major changes or patterns? Provide a chart showing the figures for these categories.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1438"/>
        <w:gridCol w:w="1439"/>
        <w:gridCol w:w="1439"/>
        <w:gridCol w:w="1439"/>
        <w:tblGridChange w:id="0">
          <w:tblGrid>
            <w:gridCol w:w="2875"/>
            <w:gridCol w:w="1438"/>
            <w:gridCol w:w="1439"/>
            <w:gridCol w:w="1439"/>
            <w:gridCol w:w="1439"/>
          </w:tblGrid>
        </w:tblGridChange>
      </w:tblGrid>
      <w:tr>
        <w:trPr>
          <w:cantSplit w:val="0"/>
          <w:tblHeader w:val="0"/>
        </w:trPr>
        <w:tc>
          <w:tcPr>
            <w:gridSpan w:val="5"/>
            <w:shd w:fill="000000" w:val="clear"/>
          </w:tcPr>
          <w:p w:rsidR="00000000" w:rsidDel="00000000" w:rsidP="00000000" w:rsidRDefault="00000000" w:rsidRPr="00000000" w14:paraId="00000024">
            <w:pPr>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Figure 2: Key Account Balances </w:t>
              <w:br w:type="textWrapping"/>
            </w:r>
            <w:r w:rsidDel="00000000" w:rsidR="00000000" w:rsidRPr="00000000">
              <w:rPr>
                <w:rFonts w:ascii="Arial" w:cs="Arial" w:eastAsia="Arial" w:hAnsi="Arial"/>
                <w:i w:val="1"/>
                <w:iCs w:val="1"/>
                <w:color w:val="ffffff"/>
                <w:sz w:val="22"/>
                <w:szCs w:val="22"/>
                <w:rtl w:val="0"/>
              </w:rPr>
              <w:t xml:space="preserve">Billions (Euro)</w:t>
            </w:r>
            <w:r w:rsidDel="00000000" w:rsidR="00000000" w:rsidRPr="00000000">
              <w:rPr>
                <w:rtl w:val="0"/>
              </w:rPr>
            </w:r>
          </w:p>
        </w:tc>
      </w:tr>
      <w:tr>
        <w:trPr>
          <w:cantSplit w:val="0"/>
          <w:trHeight w:val="20" w:hRule="atLeast"/>
          <w:tblHeader w:val="0"/>
        </w:trPr>
        <w:tc>
          <w:tcPr>
            <w:shd w:fill="d9d9d9" w:val="clear"/>
          </w:tcPr>
          <w:p w:rsidR="00000000" w:rsidDel="00000000" w:rsidP="00000000" w:rsidRDefault="00000000" w:rsidRPr="00000000" w14:paraId="00000029">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Line Item</w:t>
            </w:r>
          </w:p>
        </w:tc>
        <w:tc>
          <w:tcPr>
            <w:shd w:fill="d9d9d9" w:val="clear"/>
          </w:tcPr>
          <w:p w:rsidR="00000000" w:rsidDel="00000000" w:rsidP="00000000" w:rsidRDefault="00000000" w:rsidRPr="00000000" w14:paraId="0000002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2016</w:t>
            </w:r>
          </w:p>
        </w:tc>
        <w:tc>
          <w:tcPr>
            <w:shd w:fill="d9d9d9" w:val="clear"/>
          </w:tcPr>
          <w:p w:rsidR="00000000" w:rsidDel="00000000" w:rsidP="00000000" w:rsidRDefault="00000000" w:rsidRPr="00000000" w14:paraId="0000002B">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2015</w:t>
            </w:r>
          </w:p>
        </w:tc>
        <w:tc>
          <w:tcPr>
            <w:shd w:fill="d9d9d9" w:val="clear"/>
          </w:tcPr>
          <w:p w:rsidR="00000000" w:rsidDel="00000000" w:rsidP="00000000" w:rsidRDefault="00000000" w:rsidRPr="00000000" w14:paraId="0000002C">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2014</w:t>
            </w:r>
          </w:p>
        </w:tc>
        <w:tc>
          <w:tcPr>
            <w:shd w:fill="d9d9d9" w:val="clear"/>
          </w:tcPr>
          <w:p w:rsidR="00000000" w:rsidDel="00000000" w:rsidP="00000000" w:rsidRDefault="00000000" w:rsidRPr="00000000" w14:paraId="0000002D">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2006</w:t>
            </w:r>
          </w:p>
        </w:tc>
      </w:tr>
      <w:tr>
        <w:trPr>
          <w:cantSplit w:val="0"/>
          <w:trHeight w:val="20" w:hRule="atLeast"/>
          <w:tblHeader w:val="0"/>
        </w:trPr>
        <w:tc>
          <w:tcPr/>
          <w:p w:rsidR="00000000" w:rsidDel="00000000" w:rsidP="00000000" w:rsidRDefault="00000000" w:rsidRPr="00000000" w14:paraId="0000002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Goods/Merchandise Trade</w:t>
            </w:r>
          </w:p>
        </w:tc>
        <w:tc>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+271.7</w:t>
            </w:r>
          </w:p>
        </w:tc>
        <w:tc>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+261.2</w:t>
            </w:r>
          </w:p>
        </w:tc>
        <w:tc>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+228.4</w:t>
            </w:r>
          </w:p>
        </w:tc>
        <w:tc>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+159.0</w:t>
            </w:r>
          </w:p>
        </w:tc>
      </w:tr>
      <w:tr>
        <w:trPr>
          <w:cantSplit w:val="0"/>
          <w:trHeight w:val="296" w:hRule="atLeast"/>
          <w:tblHeader w:val="0"/>
        </w:trPr>
        <w:tc>
          <w:tcPr/>
          <w:p w:rsidR="00000000" w:rsidDel="00000000" w:rsidP="00000000" w:rsidRDefault="00000000" w:rsidRPr="00000000" w14:paraId="0000003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Service Trade</w:t>
            </w:r>
          </w:p>
        </w:tc>
        <w:tc>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-22.4</w:t>
            </w:r>
          </w:p>
        </w:tc>
        <w:tc>
          <w:tcPr/>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-18.6</w:t>
            </w:r>
          </w:p>
        </w:tc>
        <w:tc>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-25.3</w:t>
            </w:r>
          </w:p>
        </w:tc>
        <w:tc>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-15.6</w:t>
            </w:r>
          </w:p>
        </w:tc>
      </w:tr>
      <w:tr>
        <w:trPr>
          <w:cantSplit w:val="0"/>
          <w:trHeight w:val="20" w:hRule="atLeast"/>
          <w:tblHeader w:val="0"/>
        </w:trPr>
        <w:tc>
          <w:tcPr/>
          <w:p w:rsidR="00000000" w:rsidDel="00000000" w:rsidP="00000000" w:rsidRDefault="00000000" w:rsidRPr="00000000" w14:paraId="0000003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Primary Income</w:t>
            </w:r>
          </w:p>
        </w:tc>
        <w:tc>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+52.1</w:t>
            </w:r>
          </w:p>
        </w:tc>
        <w:tc>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+57.4</w:t>
            </w:r>
          </w:p>
        </w:tc>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+56.2</w:t>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+37.6</w:t>
            </w:r>
          </w:p>
        </w:tc>
      </w:tr>
      <w:tr>
        <w:trPr>
          <w:cantSplit w:val="0"/>
          <w:trHeight w:val="20" w:hRule="atLeast"/>
          <w:tblHeader w:val="0"/>
        </w:trPr>
        <w:tc>
          <w:tcPr/>
          <w:p w:rsidR="00000000" w:rsidDel="00000000" w:rsidP="00000000" w:rsidRDefault="00000000" w:rsidRPr="00000000" w14:paraId="0000003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Secondary Income</w:t>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-40.0</w:t>
            </w:r>
          </w:p>
        </w:tc>
        <w:tc>
          <w:tcPr/>
          <w:p w:rsidR="00000000" w:rsidDel="00000000" w:rsidP="00000000" w:rsidRDefault="00000000" w:rsidRPr="00000000" w14:paraId="0000003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-40.0</w:t>
            </w:r>
          </w:p>
        </w:tc>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-41.2</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-26.9</w:t>
            </w:r>
          </w:p>
        </w:tc>
      </w:tr>
      <w:tr>
        <w:trPr>
          <w:cantSplit w:val="0"/>
          <w:trHeight w:val="20" w:hRule="atLeast"/>
          <w:tblHeader w:val="0"/>
        </w:trPr>
        <w:tc>
          <w:tcPr/>
          <w:p w:rsidR="00000000" w:rsidDel="00000000" w:rsidP="00000000" w:rsidRDefault="00000000" w:rsidRPr="00000000" w14:paraId="0000004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Current Account</w:t>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+261.4</w:t>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+260.0</w:t>
            </w:r>
          </w:p>
        </w:tc>
        <w:tc>
          <w:tcPr/>
          <w:p w:rsidR="00000000" w:rsidDel="00000000" w:rsidP="00000000" w:rsidRDefault="00000000" w:rsidRPr="00000000" w14:paraId="00000045">
            <w:pPr>
              <w:tabs>
                <w:tab w:val="left" w:leader="none" w:pos="621"/>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+218.0</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+141.5</w:t>
            </w:r>
          </w:p>
        </w:tc>
      </w:tr>
      <w:tr>
        <w:trPr>
          <w:cantSplit w:val="0"/>
          <w:trHeight w:val="20" w:hRule="atLeast"/>
          <w:tblHeader w:val="0"/>
        </w:trPr>
        <w:tc>
          <w:tcPr/>
          <w:p w:rsidR="00000000" w:rsidDel="00000000" w:rsidP="00000000" w:rsidRDefault="00000000" w:rsidRPr="00000000" w14:paraId="000000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FDI – Direct Funds</w:t>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+22.6</w:t>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+54.1</w:t>
            </w:r>
          </w:p>
        </w:tc>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+72.0</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-31.5</w:t>
            </w:r>
          </w:p>
        </w:tc>
      </w:tr>
      <w:tr>
        <w:trPr>
          <w:cantSplit w:val="0"/>
          <w:trHeight w:val="20" w:hRule="atLeast"/>
          <w:tblHeader w:val="0"/>
        </w:trPr>
        <w:tc>
          <w:tcPr/>
          <w:p w:rsidR="00000000" w:rsidDel="00000000" w:rsidP="00000000" w:rsidRDefault="00000000" w:rsidRPr="00000000" w14:paraId="0000004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FDI – Portfolio Funds</w:t>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+207.9</w:t>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+196.9</w:t>
            </w:r>
          </w:p>
        </w:tc>
        <w:tc>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+207.9</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-10.3</w:t>
            </w:r>
          </w:p>
        </w:tc>
      </w:tr>
      <w:tr>
        <w:trPr>
          <w:cantSplit w:val="0"/>
          <w:trHeight w:val="251" w:hRule="atLeast"/>
          <w:tblHeader w:val="0"/>
        </w:trPr>
        <w:tc>
          <w:tcPr/>
          <w:p w:rsidR="00000000" w:rsidDel="00000000" w:rsidP="00000000" w:rsidRDefault="00000000" w:rsidRPr="00000000" w14:paraId="0000005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Reserve Assets (Govt)</w:t>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+2.9</w:t>
            </w:r>
          </w:p>
        </w:tc>
      </w:tr>
      <w:tr>
        <w:trPr>
          <w:cantSplit w:val="0"/>
          <w:trHeight w:val="485" w:hRule="atLeast"/>
          <w:tblHeader w:val="0"/>
        </w:trPr>
        <w:tc>
          <w:tcPr/>
          <w:p w:rsidR="00000000" w:rsidDel="00000000" w:rsidP="00000000" w:rsidRDefault="00000000" w:rsidRPr="00000000" w14:paraId="0000005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Other Investment </w:t>
              <w:br w:type="textWrapping"/>
              <w:t xml:space="preserve">(Debts and Loans)</w:t>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-33.8</w:t>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+3.8</w:t>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+105.7</w:t>
            </w:r>
          </w:p>
        </w:tc>
      </w:tr>
    </w:tbl>
    <w:p w:rsidR="00000000" w:rsidDel="00000000" w:rsidP="00000000" w:rsidRDefault="00000000" w:rsidRPr="00000000" w14:paraId="0000005B">
      <w:pPr>
        <w:spacing w:line="480" w:lineRule="auto"/>
        <w:ind w:left="720" w:firstLine="0"/>
        <w:rPr>
          <w:rFonts w:ascii="Arial" w:cs="Arial" w:eastAsia="Arial" w:hAnsi="Arial"/>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rtl w:val="0"/>
        </w:rPr>
        <w:t xml:space="preserve">United States, Congress, Deutsche Bundesbank. “Deutsche Bundesbank </w:t>
        <w:tab/>
        <w:tab/>
        <w:t xml:space="preserve">Eurosystem: Balance of Payments.” </w:t>
      </w:r>
      <w:r w:rsidDel="00000000" w:rsidR="00000000" w:rsidRPr="00000000">
        <w:rPr>
          <w:rFonts w:ascii="Arial" w:cs="Arial" w:eastAsia="Arial" w:hAnsi="Arial"/>
          <w:i w:val="1"/>
          <w:iCs w:val="1"/>
          <w:rtl w:val="0"/>
        </w:rPr>
        <w:t xml:space="preserve">Deutsche Bundesbank </w:t>
        <w:tab/>
        <w:t xml:space="preserve">Eurosystem: </w:t>
        <w:tab/>
        <w:t xml:space="preserve">Balance of Payments</w:t>
      </w:r>
      <w:r w:rsidDel="00000000" w:rsidR="00000000" w:rsidRPr="00000000">
        <w:rPr>
          <w:rFonts w:ascii="Arial" w:cs="Arial" w:eastAsia="Arial" w:hAnsi="Arial"/>
          <w:rtl w:val="0"/>
        </w:rPr>
        <w:t xml:space="preserve">, Deutsche Bundesbank, Mar. 2017. </w:t>
        <w:tab/>
      </w:r>
      <w:hyperlink r:id="rId7">
        <w:r w:rsidDel="00000000" w:rsidR="00000000" w:rsidRPr="00000000">
          <w:rPr>
            <w:rFonts w:ascii="Arial" w:cs="Arial" w:eastAsia="Arial" w:hAnsi="Arial"/>
            <w:color w:val="0563c1"/>
            <w:u w:val="single"/>
            <w:rtl w:val="0"/>
          </w:rPr>
          <w:t xml:space="preserve">www.bundesbank.de/Redaktion/EN/Dossier/Statistics/balance_of_paymen</w:t>
        </w:r>
      </w:hyperlink>
      <w:r w:rsidDel="00000000" w:rsidR="00000000" w:rsidRPr="00000000">
        <w:rPr>
          <w:rFonts w:ascii="Arial" w:cs="Arial" w:eastAsia="Arial" w:hAnsi="Arial"/>
          <w:rtl w:val="0"/>
        </w:rPr>
        <w:tab/>
        <w:t xml:space="preserve">ts.html?notFirst=true&amp;docId=173436.</w:t>
      </w:r>
    </w:p>
    <w:p w:rsidR="00000000" w:rsidDel="00000000" w:rsidP="00000000" w:rsidRDefault="00000000" w:rsidRPr="00000000" w14:paraId="0000005C">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D">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United States, Congress, Deutsche Bundesbank. “Deutsche Bundesbank </w:t>
        <w:tab/>
        <w:t xml:space="preserve">Eurosystem.” </w:t>
      </w:r>
      <w:r w:rsidDel="00000000" w:rsidR="00000000" w:rsidRPr="00000000">
        <w:rPr>
          <w:rFonts w:ascii="Arial" w:cs="Arial" w:eastAsia="Arial" w:hAnsi="Arial"/>
          <w:i w:val="1"/>
          <w:iCs w:val="1"/>
          <w:rtl w:val="0"/>
        </w:rPr>
        <w:t xml:space="preserve">Deutsche Bundesbank Eurosystem</w:t>
      </w:r>
      <w:r w:rsidDel="00000000" w:rsidR="00000000" w:rsidRPr="00000000">
        <w:rPr>
          <w:rFonts w:ascii="Arial" w:cs="Arial" w:eastAsia="Arial" w:hAnsi="Arial"/>
          <w:rtl w:val="0"/>
        </w:rPr>
        <w:t xml:space="preserve">, Deutsche Bundesbank, </w:t>
        <w:tab/>
        <w:t xml:space="preserve">Mar. 2008. </w:t>
      </w:r>
      <w:hyperlink r:id="rId8">
        <w:r w:rsidDel="00000000" w:rsidR="00000000" w:rsidRPr="00000000">
          <w:rPr>
            <w:rFonts w:ascii="Arial" w:cs="Arial" w:eastAsia="Arial" w:hAnsi="Arial"/>
            <w:color w:val="0563c1"/>
            <w:u w:val="single"/>
            <w:rtl w:val="0"/>
          </w:rPr>
          <w:t xml:space="preserve">www.bundesbank.de/Redaktion/EN/Downloads/Publications/</w:t>
        </w:r>
      </w:hyperlink>
      <w:r w:rsidDel="00000000" w:rsidR="00000000" w:rsidRPr="00000000">
        <w:rPr>
          <w:rFonts w:ascii="Arial" w:cs="Arial" w:eastAsia="Arial" w:hAnsi="Arial"/>
          <w:rtl w:val="0"/>
        </w:rPr>
        <w:tab/>
        <w:t xml:space="preserve">Monthly_Report_Articles/2008/2008_03_balance_payments.pdf?__blob=p</w:t>
        <w:tab/>
        <w:t xml:space="preserve">ublicationFile.</w:t>
      </w:r>
    </w:p>
    <w:p w:rsidR="00000000" w:rsidDel="00000000" w:rsidP="00000000" w:rsidRDefault="00000000" w:rsidRPr="00000000" w14:paraId="0000005E">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ind w:firstLine="720"/>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Figure 3: Key Account Balances </w:t>
      </w:r>
    </w:p>
    <w:p w:rsidR="00000000" w:rsidDel="00000000" w:rsidP="00000000" w:rsidRDefault="00000000" w:rsidRPr="00000000" w14:paraId="00000061">
      <w:pPr>
        <w:ind w:firstLine="720"/>
        <w:jc w:val="center"/>
        <w:rPr>
          <w:rFonts w:ascii="Arial" w:cs="Arial" w:eastAsia="Arial" w:hAnsi="Arial"/>
          <w:color w:val="000000"/>
        </w:rPr>
      </w:pPr>
      <w:r w:rsidDel="00000000" w:rsidR="00000000" w:rsidRPr="00000000">
        <w:rPr>
          <w:rFonts w:ascii="Arial" w:cs="Arial" w:eastAsia="Arial" w:hAnsi="Arial"/>
          <w:i w:val="1"/>
          <w:iCs w:val="1"/>
          <w:color w:val="000000"/>
          <w:sz w:val="22"/>
          <w:szCs w:val="22"/>
          <w:rtl w:val="0"/>
        </w:rPr>
        <w:t xml:space="preserve">Billions (Euro)</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1438"/>
        <w:gridCol w:w="1439"/>
        <w:gridCol w:w="1439"/>
        <w:gridCol w:w="1439"/>
        <w:tblGridChange w:id="0">
          <w:tblGrid>
            <w:gridCol w:w="2875"/>
            <w:gridCol w:w="1438"/>
            <w:gridCol w:w="1439"/>
            <w:gridCol w:w="1439"/>
            <w:gridCol w:w="1439"/>
          </w:tblGrid>
        </w:tblGridChange>
      </w:tblGrid>
      <w:tr>
        <w:trPr>
          <w:cantSplit w:val="0"/>
          <w:tblHeader w:val="0"/>
        </w:trPr>
        <w:tc>
          <w:tcPr>
            <w:gridSpan w:val="5"/>
            <w:shd w:fill="000000" w:val="clear"/>
          </w:tcPr>
          <w:p w:rsidR="00000000" w:rsidDel="00000000" w:rsidP="00000000" w:rsidRDefault="00000000" w:rsidRPr="00000000" w14:paraId="00000063">
            <w:pPr>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Figure 2: Key Account Balances </w:t>
              <w:br w:type="textWrapping"/>
            </w:r>
            <w:r w:rsidDel="00000000" w:rsidR="00000000" w:rsidRPr="00000000">
              <w:rPr>
                <w:rFonts w:ascii="Arial" w:cs="Arial" w:eastAsia="Arial" w:hAnsi="Arial"/>
                <w:i w:val="1"/>
                <w:iCs w:val="1"/>
                <w:color w:val="ffffff"/>
                <w:sz w:val="22"/>
                <w:szCs w:val="22"/>
                <w:rtl w:val="0"/>
              </w:rPr>
              <w:t xml:space="preserve">Billions (Euros)</w:t>
            </w:r>
            <w:r w:rsidDel="00000000" w:rsidR="00000000" w:rsidRPr="00000000">
              <w:rPr>
                <w:rtl w:val="0"/>
              </w:rPr>
            </w:r>
          </w:p>
        </w:tc>
      </w:tr>
      <w:tr>
        <w:trPr>
          <w:cantSplit w:val="0"/>
          <w:trHeight w:val="20" w:hRule="atLeast"/>
          <w:tblHeader w:val="0"/>
        </w:trPr>
        <w:tc>
          <w:tcPr>
            <w:shd w:fill="d9d9d9" w:val="clear"/>
          </w:tcPr>
          <w:p w:rsidR="00000000" w:rsidDel="00000000" w:rsidP="00000000" w:rsidRDefault="00000000" w:rsidRPr="00000000" w14:paraId="0000006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Line Item</w:t>
            </w:r>
          </w:p>
        </w:tc>
        <w:tc>
          <w:tcPr>
            <w:shd w:fill="d9d9d9" w:val="clear"/>
          </w:tcPr>
          <w:p w:rsidR="00000000" w:rsidDel="00000000" w:rsidP="00000000" w:rsidRDefault="00000000" w:rsidRPr="00000000" w14:paraId="00000069">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2016</w:t>
            </w:r>
          </w:p>
        </w:tc>
        <w:tc>
          <w:tcPr>
            <w:shd w:fill="d9d9d9" w:val="clear"/>
          </w:tcPr>
          <w:p w:rsidR="00000000" w:rsidDel="00000000" w:rsidP="00000000" w:rsidRDefault="00000000" w:rsidRPr="00000000" w14:paraId="0000006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2015</w:t>
            </w:r>
          </w:p>
        </w:tc>
        <w:tc>
          <w:tcPr>
            <w:shd w:fill="d9d9d9" w:val="clear"/>
          </w:tcPr>
          <w:p w:rsidR="00000000" w:rsidDel="00000000" w:rsidP="00000000" w:rsidRDefault="00000000" w:rsidRPr="00000000" w14:paraId="0000006B">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2014</w:t>
            </w:r>
          </w:p>
        </w:tc>
        <w:tc>
          <w:tcPr>
            <w:shd w:fill="d9d9d9" w:val="clear"/>
          </w:tcPr>
          <w:p w:rsidR="00000000" w:rsidDel="00000000" w:rsidP="00000000" w:rsidRDefault="00000000" w:rsidRPr="00000000" w14:paraId="0000006C">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2006</w:t>
            </w:r>
          </w:p>
        </w:tc>
      </w:tr>
      <w:tr>
        <w:trPr>
          <w:cantSplit w:val="0"/>
          <w:trHeight w:val="20" w:hRule="atLeast"/>
          <w:tblHeader w:val="0"/>
        </w:trPr>
        <w:tc>
          <w:tcPr/>
          <w:p w:rsidR="00000000" w:rsidDel="00000000" w:rsidP="00000000" w:rsidRDefault="00000000" w:rsidRPr="00000000" w14:paraId="0000006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Goods/Merchandise Trade</w:t>
            </w:r>
          </w:p>
        </w:tc>
        <w:tc>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+271.7</w:t>
            </w:r>
          </w:p>
        </w:tc>
        <w:tc>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+261.2</w:t>
            </w:r>
          </w:p>
        </w:tc>
        <w:tc>
          <w:tcPr/>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sz w:val="22"/>
                <w:szCs w:val="22"/>
                <w:rtl w:val="0"/>
              </w:rPr>
              <w:t xml:space="preserve">+228.4</w:t>
            </w:r>
          </w:p>
        </w:tc>
        <w:tc>
          <w:tcPr/>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sz w:val="22"/>
                <w:szCs w:val="22"/>
                <w:rtl w:val="0"/>
              </w:rPr>
              <w:t xml:space="preserve">+159.0</w:t>
            </w:r>
          </w:p>
        </w:tc>
      </w:tr>
      <w:tr>
        <w:trPr>
          <w:cantSplit w:val="0"/>
          <w:trHeight w:val="296" w:hRule="atLeast"/>
          <w:tblHeader w:val="0"/>
        </w:trPr>
        <w:tc>
          <w:tcPr/>
          <w:p w:rsidR="00000000" w:rsidDel="00000000" w:rsidP="00000000" w:rsidRDefault="00000000" w:rsidRPr="00000000" w14:paraId="0000007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Service Trade</w:t>
            </w:r>
          </w:p>
        </w:tc>
        <w:tc>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-22.4</w:t>
            </w:r>
          </w:p>
        </w:tc>
        <w:tc>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-18.6</w:t>
            </w:r>
          </w:p>
        </w:tc>
        <w:tc>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-25.3</w:t>
            </w:r>
          </w:p>
        </w:tc>
        <w:tc>
          <w:tcPr/>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-15.6</w:t>
            </w:r>
          </w:p>
        </w:tc>
      </w:tr>
      <w:tr>
        <w:trPr>
          <w:cantSplit w:val="0"/>
          <w:trHeight w:val="20" w:hRule="atLeast"/>
          <w:tblHeader w:val="0"/>
        </w:trPr>
        <w:tc>
          <w:tcPr/>
          <w:p w:rsidR="00000000" w:rsidDel="00000000" w:rsidP="00000000" w:rsidRDefault="00000000" w:rsidRPr="00000000" w14:paraId="0000007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Primary Income</w:t>
            </w:r>
          </w:p>
        </w:tc>
        <w:tc>
          <w:tcPr/>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+52.1</w:t>
            </w:r>
          </w:p>
        </w:tc>
        <w:tc>
          <w:tcPr/>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+57.4</w:t>
            </w:r>
          </w:p>
        </w:tc>
        <w:tc>
          <w:tcPr/>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+56.2</w:t>
            </w:r>
          </w:p>
        </w:tc>
        <w:tc>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+37.6</w:t>
            </w:r>
          </w:p>
        </w:tc>
      </w:tr>
      <w:tr>
        <w:trPr>
          <w:cantSplit w:val="0"/>
          <w:trHeight w:val="20" w:hRule="atLeast"/>
          <w:tblHeader w:val="0"/>
        </w:trPr>
        <w:tc>
          <w:tcPr/>
          <w:p w:rsidR="00000000" w:rsidDel="00000000" w:rsidP="00000000" w:rsidRDefault="00000000" w:rsidRPr="00000000" w14:paraId="0000007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Secondary Income</w:t>
            </w:r>
          </w:p>
        </w:tc>
        <w:tc>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sz w:val="22"/>
                <w:szCs w:val="22"/>
                <w:rtl w:val="0"/>
              </w:rPr>
              <w:t xml:space="preserve">-40.0</w:t>
            </w:r>
          </w:p>
        </w:tc>
        <w:tc>
          <w:tcPr/>
          <w:p w:rsidR="00000000" w:rsidDel="00000000" w:rsidP="00000000" w:rsidRDefault="00000000" w:rsidRPr="00000000" w14:paraId="0000007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-40.0</w:t>
            </w:r>
          </w:p>
        </w:tc>
        <w:tc>
          <w:tcPr/>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-41.2</w:t>
            </w:r>
          </w:p>
        </w:tc>
        <w:tc>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-26.9</w:t>
            </w:r>
          </w:p>
        </w:tc>
      </w:tr>
      <w:tr>
        <w:trPr>
          <w:cantSplit w:val="0"/>
          <w:trHeight w:val="20" w:hRule="atLeast"/>
          <w:tblHeader w:val="0"/>
        </w:trPr>
        <w:tc>
          <w:tcPr/>
          <w:p w:rsidR="00000000" w:rsidDel="00000000" w:rsidP="00000000" w:rsidRDefault="00000000" w:rsidRPr="00000000" w14:paraId="0000008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Current Account</w:t>
            </w:r>
          </w:p>
        </w:tc>
        <w:tc>
          <w:tcPr/>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+261.4</w:t>
            </w:r>
          </w:p>
        </w:tc>
        <w:tc>
          <w:tcPr/>
          <w:p w:rsidR="00000000" w:rsidDel="00000000" w:rsidP="00000000" w:rsidRDefault="00000000" w:rsidRPr="00000000" w14:paraId="00000083">
            <w:pPr>
              <w:rPr>
                <w:rFonts w:ascii="Arial" w:cs="Arial" w:eastAsia="Arial" w:hAnsi="Arial"/>
                <w:sz w:val="22"/>
                <w:szCs w:val="22"/>
              </w:rPr>
            </w:pPr>
            <w:r w:rsidDel="00000000" w:rsidR="00000000" w:rsidRPr="00000000">
              <w:rPr>
                <w:rFonts w:ascii="Arial" w:cs="Arial" w:eastAsia="Arial" w:hAnsi="Arial"/>
                <w:sz w:val="22"/>
                <w:szCs w:val="22"/>
                <w:rtl w:val="0"/>
              </w:rPr>
              <w:t xml:space="preserve">+260.0</w:t>
            </w:r>
          </w:p>
        </w:tc>
        <w:tc>
          <w:tcPr/>
          <w:p w:rsidR="00000000" w:rsidDel="00000000" w:rsidP="00000000" w:rsidRDefault="00000000" w:rsidRPr="00000000" w14:paraId="00000084">
            <w:pPr>
              <w:tabs>
                <w:tab w:val="left" w:leader="none" w:pos="621"/>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+218.0</w:t>
            </w:r>
          </w:p>
        </w:tc>
        <w:tc>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+141.5</w:t>
            </w:r>
          </w:p>
        </w:tc>
      </w:tr>
      <w:tr>
        <w:trPr>
          <w:cantSplit w:val="0"/>
          <w:trHeight w:val="20" w:hRule="atLeast"/>
          <w:tblHeader w:val="0"/>
        </w:trPr>
        <w:tc>
          <w:tcPr/>
          <w:p w:rsidR="00000000" w:rsidDel="00000000" w:rsidP="00000000" w:rsidRDefault="00000000" w:rsidRPr="00000000" w14:paraId="0000008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FDI – Direct Funds</w:t>
            </w:r>
          </w:p>
        </w:tc>
        <w:tc>
          <w:tcPr/>
          <w:p w:rsidR="00000000" w:rsidDel="00000000" w:rsidP="00000000" w:rsidRDefault="00000000" w:rsidRPr="00000000" w14:paraId="00000087">
            <w:pPr>
              <w:rPr>
                <w:rFonts w:ascii="Arial" w:cs="Arial" w:eastAsia="Arial" w:hAnsi="Arial"/>
                <w:sz w:val="22"/>
                <w:szCs w:val="22"/>
              </w:rPr>
            </w:pPr>
            <w:r w:rsidDel="00000000" w:rsidR="00000000" w:rsidRPr="00000000">
              <w:rPr>
                <w:rFonts w:ascii="Arial" w:cs="Arial" w:eastAsia="Arial" w:hAnsi="Arial"/>
                <w:sz w:val="22"/>
                <w:szCs w:val="22"/>
                <w:rtl w:val="0"/>
              </w:rPr>
              <w:t xml:space="preserve">+22.6</w:t>
            </w:r>
          </w:p>
        </w:tc>
        <w:tc>
          <w:tcPr/>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sz w:val="22"/>
                <w:szCs w:val="22"/>
                <w:rtl w:val="0"/>
              </w:rPr>
              <w:t xml:space="preserve">+54.1</w:t>
            </w:r>
          </w:p>
        </w:tc>
        <w:tc>
          <w:tcPr/>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sz w:val="22"/>
                <w:szCs w:val="22"/>
                <w:rtl w:val="0"/>
              </w:rPr>
              <w:t xml:space="preserve">+72.0</w:t>
            </w:r>
          </w:p>
        </w:tc>
        <w:tc>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-31.5</w:t>
            </w:r>
          </w:p>
        </w:tc>
      </w:tr>
      <w:tr>
        <w:trPr>
          <w:cantSplit w:val="0"/>
          <w:trHeight w:val="20" w:hRule="atLeast"/>
          <w:tblHeader w:val="0"/>
        </w:trPr>
        <w:tc>
          <w:tcPr/>
          <w:p w:rsidR="00000000" w:rsidDel="00000000" w:rsidP="00000000" w:rsidRDefault="00000000" w:rsidRPr="00000000" w14:paraId="0000008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FDI – Portfolio Funds</w:t>
            </w:r>
          </w:p>
        </w:tc>
        <w:tc>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+207.9</w:t>
            </w:r>
          </w:p>
        </w:tc>
        <w:tc>
          <w:tcPr/>
          <w:p w:rsidR="00000000" w:rsidDel="00000000" w:rsidP="00000000" w:rsidRDefault="00000000" w:rsidRPr="00000000" w14:paraId="0000008D">
            <w:pPr>
              <w:rPr>
                <w:rFonts w:ascii="Arial" w:cs="Arial" w:eastAsia="Arial" w:hAnsi="Arial"/>
                <w:sz w:val="22"/>
                <w:szCs w:val="22"/>
              </w:rPr>
            </w:pPr>
            <w:r w:rsidDel="00000000" w:rsidR="00000000" w:rsidRPr="00000000">
              <w:rPr>
                <w:rFonts w:ascii="Arial" w:cs="Arial" w:eastAsia="Arial" w:hAnsi="Arial"/>
                <w:sz w:val="22"/>
                <w:szCs w:val="22"/>
                <w:rtl w:val="0"/>
              </w:rPr>
              <w:t xml:space="preserve">+196.9</w:t>
            </w:r>
          </w:p>
        </w:tc>
        <w:tc>
          <w:tcPr/>
          <w:p w:rsidR="00000000" w:rsidDel="00000000" w:rsidP="00000000" w:rsidRDefault="00000000" w:rsidRPr="00000000" w14:paraId="0000008E">
            <w:pPr>
              <w:rPr>
                <w:rFonts w:ascii="Arial" w:cs="Arial" w:eastAsia="Arial" w:hAnsi="Arial"/>
                <w:sz w:val="22"/>
                <w:szCs w:val="22"/>
              </w:rPr>
            </w:pPr>
            <w:bookmarkStart w:colFirst="0" w:colLast="0" w:name="_mh4zdx6qvwlu" w:id="0"/>
            <w:bookmarkEnd w:id="0"/>
            <w:r w:rsidDel="00000000" w:rsidR="00000000" w:rsidRPr="00000000">
              <w:rPr>
                <w:rFonts w:ascii="Arial" w:cs="Arial" w:eastAsia="Arial" w:hAnsi="Arial"/>
                <w:sz w:val="22"/>
                <w:szCs w:val="22"/>
                <w:rtl w:val="0"/>
              </w:rPr>
              <w:t xml:space="preserve">+133.5</w:t>
            </w:r>
          </w:p>
        </w:tc>
        <w:tc>
          <w:tcPr/>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-10.3</w:t>
            </w:r>
          </w:p>
        </w:tc>
      </w:tr>
      <w:tr>
        <w:trPr>
          <w:cantSplit w:val="0"/>
          <w:trHeight w:val="251" w:hRule="atLeast"/>
          <w:tblHeader w:val="0"/>
        </w:trPr>
        <w:tc>
          <w:tcPr/>
          <w:p w:rsidR="00000000" w:rsidDel="00000000" w:rsidP="00000000" w:rsidRDefault="00000000" w:rsidRPr="00000000" w14:paraId="0000009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Reserve Assets (Govt.)</w:t>
            </w:r>
          </w:p>
        </w:tc>
        <w:tc>
          <w:tcPr/>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092">
            <w:pP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tc>
        <w:tc>
          <w:tcPr/>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+2.9</w:t>
            </w:r>
          </w:p>
        </w:tc>
      </w:tr>
      <w:tr>
        <w:trPr>
          <w:cantSplit w:val="0"/>
          <w:trHeight w:val="485" w:hRule="atLeast"/>
          <w:tblHeader w:val="0"/>
        </w:trPr>
        <w:tc>
          <w:tcPr/>
          <w:p w:rsidR="00000000" w:rsidDel="00000000" w:rsidP="00000000" w:rsidRDefault="00000000" w:rsidRPr="00000000" w14:paraId="0000009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Other Investment </w:t>
              <w:br w:type="textWrapping"/>
              <w:t xml:space="preserve">(Debts and Loans)</w:t>
            </w:r>
          </w:p>
        </w:tc>
        <w:tc>
          <w:tcPr/>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-33.8</w:t>
            </w:r>
          </w:p>
        </w:tc>
        <w:tc>
          <w:tcPr/>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098">
            <w:pPr>
              <w:rPr>
                <w:rFonts w:ascii="Arial" w:cs="Arial" w:eastAsia="Arial" w:hAnsi="Arial"/>
                <w:sz w:val="22"/>
                <w:szCs w:val="22"/>
              </w:rPr>
            </w:pPr>
            <w:r w:rsidDel="00000000" w:rsidR="00000000" w:rsidRPr="00000000">
              <w:rPr>
                <w:rFonts w:ascii="Arial" w:cs="Arial" w:eastAsia="Arial" w:hAnsi="Arial"/>
                <w:sz w:val="22"/>
                <w:szCs w:val="22"/>
                <w:rtl w:val="0"/>
              </w:rPr>
              <w:t xml:space="preserve">+3.8</w:t>
            </w:r>
          </w:p>
        </w:tc>
        <w:tc>
          <w:tcPr/>
          <w:p w:rsidR="00000000" w:rsidDel="00000000" w:rsidP="00000000" w:rsidRDefault="00000000" w:rsidRPr="00000000" w14:paraId="00000099">
            <w:pPr>
              <w:rPr>
                <w:rFonts w:ascii="Arial" w:cs="Arial" w:eastAsia="Arial" w:hAnsi="Arial"/>
                <w:sz w:val="22"/>
                <w:szCs w:val="22"/>
              </w:rPr>
            </w:pPr>
            <w:r w:rsidDel="00000000" w:rsidR="00000000" w:rsidRPr="00000000">
              <w:rPr>
                <w:rFonts w:ascii="Arial" w:cs="Arial" w:eastAsia="Arial" w:hAnsi="Arial"/>
                <w:sz w:val="22"/>
                <w:szCs w:val="22"/>
                <w:rtl w:val="0"/>
              </w:rPr>
              <w:t xml:space="preserve">+105.7</w:t>
            </w:r>
          </w:p>
        </w:tc>
      </w:tr>
    </w:tbl>
    <w:p w:rsidR="00000000" w:rsidDel="00000000" w:rsidP="00000000" w:rsidRDefault="00000000" w:rsidRPr="00000000" w14:paraId="0000009A">
      <w:pPr>
        <w:spacing w:line="480" w:lineRule="auto"/>
        <w:ind w:left="720" w:firstLine="0"/>
        <w:rPr>
          <w:rFonts w:ascii="Arial" w:cs="Arial" w:eastAsia="Arial" w:hAnsi="Arial"/>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rtl w:val="0"/>
        </w:rPr>
        <w:t xml:space="preserve">United States, Congress, Deutsche Bundesbank. “Deutsche Bundesbank </w:t>
        <w:tab/>
        <w:tab/>
        <w:t xml:space="preserve">Eurosystem: Balance of Payments.” </w:t>
      </w:r>
      <w:r w:rsidDel="00000000" w:rsidR="00000000" w:rsidRPr="00000000">
        <w:rPr>
          <w:rFonts w:ascii="Arial" w:cs="Arial" w:eastAsia="Arial" w:hAnsi="Arial"/>
          <w:i w:val="1"/>
          <w:iCs w:val="1"/>
          <w:rtl w:val="0"/>
        </w:rPr>
        <w:t xml:space="preserve">Deutsche Bundesbank </w:t>
        <w:tab/>
        <w:t xml:space="preserve">Eurosystem: </w:t>
        <w:tab/>
        <w:t xml:space="preserve">Balance of Payments</w:t>
      </w:r>
      <w:r w:rsidDel="00000000" w:rsidR="00000000" w:rsidRPr="00000000">
        <w:rPr>
          <w:rFonts w:ascii="Arial" w:cs="Arial" w:eastAsia="Arial" w:hAnsi="Arial"/>
          <w:rtl w:val="0"/>
        </w:rPr>
        <w:t xml:space="preserve">, Deutsche Bundesbank, Mar. 2017. </w:t>
        <w:tab/>
      </w:r>
      <w:hyperlink r:id="rId9">
        <w:r w:rsidDel="00000000" w:rsidR="00000000" w:rsidRPr="00000000">
          <w:rPr>
            <w:rFonts w:ascii="Arial" w:cs="Arial" w:eastAsia="Arial" w:hAnsi="Arial"/>
            <w:color w:val="0563c1"/>
            <w:u w:val="single"/>
            <w:rtl w:val="0"/>
          </w:rPr>
          <w:t xml:space="preserve">www.bundesbank.de/Redaktion/EN/Dossier/Statistics/balance_of_paymen</w:t>
        </w:r>
      </w:hyperlink>
      <w:r w:rsidDel="00000000" w:rsidR="00000000" w:rsidRPr="00000000">
        <w:rPr>
          <w:rFonts w:ascii="Arial" w:cs="Arial" w:eastAsia="Arial" w:hAnsi="Arial"/>
          <w:rtl w:val="0"/>
        </w:rPr>
        <w:tab/>
        <w:t xml:space="preserve">ts.html?notFirst=true&amp;docId=173436.</w:t>
      </w:r>
    </w:p>
    <w:p w:rsidR="00000000" w:rsidDel="00000000" w:rsidP="00000000" w:rsidRDefault="00000000" w:rsidRPr="00000000" w14:paraId="0000009B">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C">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United States, Congress, Deutsche Bundesbank. “Deutsche Bundesbank </w:t>
        <w:tab/>
        <w:t xml:space="preserve">Eurosystem.” </w:t>
      </w:r>
      <w:r w:rsidDel="00000000" w:rsidR="00000000" w:rsidRPr="00000000">
        <w:rPr>
          <w:rFonts w:ascii="Arial" w:cs="Arial" w:eastAsia="Arial" w:hAnsi="Arial"/>
          <w:i w:val="1"/>
          <w:iCs w:val="1"/>
          <w:rtl w:val="0"/>
        </w:rPr>
        <w:t xml:space="preserve">Deutsche Bundesbank Eurosystem</w:t>
      </w:r>
      <w:r w:rsidDel="00000000" w:rsidR="00000000" w:rsidRPr="00000000">
        <w:rPr>
          <w:rFonts w:ascii="Arial" w:cs="Arial" w:eastAsia="Arial" w:hAnsi="Arial"/>
          <w:rtl w:val="0"/>
        </w:rPr>
        <w:t xml:space="preserve">, Deutsche Bundesbank, </w:t>
        <w:tab/>
        <w:t xml:space="preserve">Mar. 2008. </w:t>
      </w:r>
      <w:hyperlink r:id="rId10">
        <w:r w:rsidDel="00000000" w:rsidR="00000000" w:rsidRPr="00000000">
          <w:rPr>
            <w:rFonts w:ascii="Arial" w:cs="Arial" w:eastAsia="Arial" w:hAnsi="Arial"/>
            <w:color w:val="0563c1"/>
            <w:u w:val="single"/>
            <w:rtl w:val="0"/>
          </w:rPr>
          <w:t xml:space="preserve">www.bundesbank.de/Redaktion/EN/Downloads/Publications/</w:t>
        </w:r>
      </w:hyperlink>
      <w:r w:rsidDel="00000000" w:rsidR="00000000" w:rsidRPr="00000000">
        <w:rPr>
          <w:rFonts w:ascii="Arial" w:cs="Arial" w:eastAsia="Arial" w:hAnsi="Arial"/>
          <w:rtl w:val="0"/>
        </w:rPr>
        <w:tab/>
        <w:t xml:space="preserve">Monthly_Report_Articles/2008/2008_03_balance_payments.pdf?__blob=p</w:t>
        <w:tab/>
        <w:t xml:space="preserve">ublicationFile.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The German economy has struggled greatly the past decade in the service industry, as they have posted deficits in every year posted.  In addition, their secondary income has as well dropped.  Despite any negatives though, Germany has managed to post an overall surplus in every year the past decade, steadily increasing surpluses across the board while also being a major player on the international trade scene.  Even though 2016 saw a small drop in the overall current account balance, Germany remains a highly-developed country with a well-educated workforce, meaning it will likely remain a country with significant amount of foreign investment and a surplus of exports for years to come.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 you explain any anomalies, changes, or patterns you note in your response to Question F based on your knowledge of the country’s economic or political history? </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No anomalies stick out but Germany’s transformation from a nation in debt to one with none along with development on almost all positive spectrums of their economy bodes well for them.  For decades WWII ruined the German economy and put the country into crippling debt.  As time has passed, they have placed themselves once again in the spot of the most prominent nation in the EU.  This is due in most part to an excellent education system which produces skilled workers capable of thriving in our age of technology.  While this has also led services to an increasing deficit as of late, improvements in other sectors have offset these losses.</w:t>
        <w:br w:type="textWrapping"/>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Taking all of your figures above, are there are any important “issues” that would have relevance for the way your COC would operate in your country (i.e. what aspects of the BOP are positive for your COC and what parts are negative?) </w:t>
      </w:r>
      <w:r w:rsidDel="00000000" w:rsidR="00000000" w:rsidRPr="00000000">
        <w:rPr>
          <w:rtl w:val="0"/>
        </w:rPr>
      </w:r>
    </w:p>
    <w:p w:rsidR="00000000" w:rsidDel="00000000" w:rsidP="00000000" w:rsidRDefault="00000000" w:rsidRPr="00000000" w14:paraId="000000A3">
      <w:pPr>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a stable economy that has made steady strides, even in years where the current account surplus has slight decreases (i.e. 2016) “the goods trade surplus continued to grow” (Deutsch Bundesbank, 2017).  This healthy flow is “due to lower import prices” (Deutsch Bundesbank, 2017) partly, which also bodes well for foreign companies like Nestle who may struggle to compete otherwise.  In terms of negatives, the decrease in FDI is slightly unsettling for a business which hails from outside German borders.  Fortunately, Nestles close proximity and long-time trade relation may help combat this slightly.</w:t>
        <w:br w:type="textWrapping"/>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there any other aspect of the country’s BOP statement worth noting?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While growth has temporarily halted opposed to recent years, the “current account surplus remained virtually unchanged” (Deutsch Bundesbank 2017).  While not idea, Germany is still in a great position in the global market as a part of the developed world and the most influential European nation economically.  Going forward, all signs point that their growth will eventually continue in the near future.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6">
      <w:pPr>
        <w:spacing w:line="480" w:lineRule="auto"/>
        <w:ind w:left="720" w:hanging="720"/>
        <w:jc w:val="center"/>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0A7">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United States, Congress, Deutsche Bundesbank. “Changes in the methodology </w:t>
        <w:tab/>
        <w:t xml:space="preserve">and classifications of the balance of payments and the international </w:t>
        <w:tab/>
        <w:t xml:space="preserve">investment position.” Changes in the methodology and classifications of </w:t>
        <w:tab/>
        <w:t xml:space="preserve">the balance of payments and the international investment position, </w:t>
        <w:tab/>
        <w:t xml:space="preserve">Deutsche Bundesbank, 2014, pp. 1–3.</w:t>
      </w:r>
    </w:p>
    <w:p w:rsidR="00000000" w:rsidDel="00000000" w:rsidP="00000000" w:rsidRDefault="00000000" w:rsidRPr="00000000" w14:paraId="000000A8">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9">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United States, Congress, Deutsche Bundesbank. “Deutsche Bundesbank Eurosystem: Balance of Payments.” Deutsche Bundesbank Eurosystem: Balance </w:t>
        <w:tab/>
        <w:t xml:space="preserve">of Payments, Deutsche Bundesbank, August 2017. </w:t>
        <w:tab/>
      </w:r>
      <w:hyperlink r:id="rId11">
        <w:r w:rsidDel="00000000" w:rsidR="00000000" w:rsidRPr="00000000">
          <w:rPr>
            <w:rFonts w:ascii="Arial" w:cs="Arial" w:eastAsia="Arial" w:hAnsi="Arial"/>
            <w:color w:val="0563c1"/>
            <w:u w:val="single"/>
            <w:rtl w:val="0"/>
          </w:rPr>
          <w:t xml:space="preserve">www.bundesbank.de/Redaktion/EN/Dossier/Statistics/balance_of_paymen</w:t>
        </w:r>
      </w:hyperlink>
      <w:r w:rsidDel="00000000" w:rsidR="00000000" w:rsidRPr="00000000">
        <w:rPr>
          <w:rFonts w:ascii="Arial" w:cs="Arial" w:eastAsia="Arial" w:hAnsi="Arial"/>
          <w:rtl w:val="0"/>
        </w:rPr>
        <w:tab/>
        <w:t xml:space="preserve">ts.html?notFirst=true&amp;docId=173436.</w:t>
      </w:r>
    </w:p>
    <w:p w:rsidR="00000000" w:rsidDel="00000000" w:rsidP="00000000" w:rsidRDefault="00000000" w:rsidRPr="00000000" w14:paraId="000000AA">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B">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United States, Congress, Deutsche Bundesbank. “Deutsche Bundesbank </w:t>
        <w:tab/>
        <w:t xml:space="preserve">Eurosystem: Balance of Payments.” </w:t>
      </w:r>
      <w:r w:rsidDel="00000000" w:rsidR="00000000" w:rsidRPr="00000000">
        <w:rPr>
          <w:rFonts w:ascii="Arial" w:cs="Arial" w:eastAsia="Arial" w:hAnsi="Arial"/>
          <w:i w:val="1"/>
          <w:iCs w:val="1"/>
          <w:rtl w:val="0"/>
        </w:rPr>
        <w:t xml:space="preserve">Deutsche Bundesbank Eurosystem: </w:t>
        <w:tab/>
        <w:t xml:space="preserve">Balance of Payments</w:t>
      </w:r>
      <w:r w:rsidDel="00000000" w:rsidR="00000000" w:rsidRPr="00000000">
        <w:rPr>
          <w:rFonts w:ascii="Arial" w:cs="Arial" w:eastAsia="Arial" w:hAnsi="Arial"/>
          <w:rtl w:val="0"/>
        </w:rPr>
        <w:t xml:space="preserve">, Deutsche Bundesbank, Mar. 2017. </w:t>
        <w:tab/>
      </w:r>
      <w:hyperlink r:id="rId12">
        <w:r w:rsidDel="00000000" w:rsidR="00000000" w:rsidRPr="00000000">
          <w:rPr>
            <w:rFonts w:ascii="Arial" w:cs="Arial" w:eastAsia="Arial" w:hAnsi="Arial"/>
            <w:color w:val="0563c1"/>
            <w:u w:val="single"/>
            <w:rtl w:val="0"/>
          </w:rPr>
          <w:t xml:space="preserve">www.bundesbank.de/Redaktion/EN/Dossier/Statistics/balance_of_paymen</w:t>
        </w:r>
      </w:hyperlink>
      <w:r w:rsidDel="00000000" w:rsidR="00000000" w:rsidRPr="00000000">
        <w:rPr>
          <w:rFonts w:ascii="Arial" w:cs="Arial" w:eastAsia="Arial" w:hAnsi="Arial"/>
          <w:rtl w:val="0"/>
        </w:rPr>
        <w:tab/>
        <w:t xml:space="preserve">ts.html?notFirst=true&amp;docId=173436.</w:t>
      </w:r>
    </w:p>
    <w:p w:rsidR="00000000" w:rsidDel="00000000" w:rsidP="00000000" w:rsidRDefault="00000000" w:rsidRPr="00000000" w14:paraId="000000AC">
      <w:pPr>
        <w:spacing w:line="480" w:lineRule="auto"/>
        <w:ind w:left="720" w:firstLine="0"/>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bundesbank.de/Redaktion/EN/Dossier/Statistics/balance_of_paymen" TargetMode="External"/><Relationship Id="rId10" Type="http://schemas.openxmlformats.org/officeDocument/2006/relationships/hyperlink" Target="http://www.bundesbank.de/Redaktion/EN/Downloads/Publications/" TargetMode="External"/><Relationship Id="rId12" Type="http://schemas.openxmlformats.org/officeDocument/2006/relationships/hyperlink" Target="http://www.bundesbank.de/Redaktion/EN/Dossier/Statistics/balance_of_paymen" TargetMode="External"/><Relationship Id="rId9" Type="http://schemas.openxmlformats.org/officeDocument/2006/relationships/hyperlink" Target="http://www.bundesbank.de/Redaktion/EN/Dossier/Statistics/balance_of_paymen" TargetMode="External"/><Relationship Id="rId5" Type="http://schemas.openxmlformats.org/officeDocument/2006/relationships/styles" Target="styles.xml"/><Relationship Id="rId6" Type="http://schemas.openxmlformats.org/officeDocument/2006/relationships/hyperlink" Target="https://www.bundesbank.de/Redaktion/EN/Downloads/Publications/Monthly_Report_Articles/2017/2017_03_balance_of_payments.pdf?__blob=publicationFile" TargetMode="External"/><Relationship Id="rId7" Type="http://schemas.openxmlformats.org/officeDocument/2006/relationships/hyperlink" Target="http://www.bundesbank.de/Redaktion/EN/Dossier/Statistics/balance_of_paymen" TargetMode="External"/><Relationship Id="rId8" Type="http://schemas.openxmlformats.org/officeDocument/2006/relationships/hyperlink" Target="http://www.bundesbank.de/Redaktion/EN/Downloads/Pub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