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Times" w:cs="Times" w:eastAsia="Times" w:hAnsi="Times"/>
          <w:b w:val="1"/>
          <w:bCs w:val="1"/>
          <w:color w:val="000000"/>
          <w:sz w:val="32"/>
          <w:szCs w:val="32"/>
          <w:u w:val="single"/>
        </w:rPr>
      </w:pPr>
      <w:r w:rsidDel="00000000" w:rsidR="00000000" w:rsidRPr="00000000">
        <w:rPr>
          <w:rFonts w:ascii="Times" w:cs="Times" w:eastAsia="Times" w:hAnsi="Times"/>
          <w:b w:val="1"/>
          <w:bCs w:val="1"/>
          <w:color w:val="000000"/>
          <w:sz w:val="32"/>
          <w:szCs w:val="32"/>
          <w:u w:val="single"/>
          <w:rtl w:val="0"/>
        </w:rPr>
        <w:t xml:space="preserve">Problem Set 3</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bookmarkStart w:colFirst="0" w:colLast="0" w:name="_ii5mgph8ijyj" w:id="0"/>
      <w:bookmarkEnd w:id="0"/>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With the US expanding, the nation became even more heavily reliant on food goods imported from Europe as the means to feed the whole population on sustenance practices could not suffice.  This led to agricultural prices rising fast along with a demand for farmland, subsequently raising its’ value as well. Because most citizens didn’t have the capital to start up their own farm alone, loans were taken out so that farmers could plant, grow, harvest and sell their product at the pace required to keep up with demand.  If the debt could not be repaid over the course of the process, the land individuals owned could be used as collateral.  Despite this, the land did not always suffice as adequate payment, which led to the failures when combined with the terrible climate of the time for growing.  Kansas suffered from lack of rainfall relative to past years, with above average temperatures, leading to inefficiency in output per acre of land.  The reintroduction of agriculture in Europe didn’t help, flooding the market with supply and decreasing prices which led to lower standards of living among the farming community (and as a result, defaults).  Without the assets to loan out to potential businesses, the bank loses its main income source, also meaning a large portion of banks failed to stay afloat.</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As previously mentioned, banks rely on their “investments,” or the money it loans out to people in order to generate revenue.  When their funding is low, their ability to make more money is also limited.  With national banks, the likelihood of their failure is far less than private banks that lack the financial support of an institution like the government or other large bankers within the inner circle who could assist in rough patches to ensure survival.  Therefore, citizens saw national banks as less risky when combined with their high rates of regulation and low failure prospects, as the chance of state banks being fraudulent or failing in general was a valid concern in most US regions.  In effect, state banks lost much of their power (and money supply) competing with national banks that were by all means more professionally ran.  This was especially evident in areas of high concentration of national banks, where state banks stood little-to-no chance of outcompeting the larger entities.</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Deposit insurance reduced runs on banks, giving depositors an incentive to not pull out all of their money in rough patches where banks had the possibility of failing.  Increased levels of risky loans lent out by banks was also brought about through this insurance, as bank owners were in a way hedged against taking risk of taking losses too great that would ruin them (in theory).  Depositors benefited as well considering the fact they had less of a reason to stay up to date with their banks proceedings in case of economic downturns, knowing well the value of their money was being retained.  Despite this, Wheelock’s study found insured banks to be more volatile than their counterparts, leading to his conclusion that deposit insurance did play a major role in the failures due to the bolstered levels of risk and uneasy failure rate when the agriculture economy plummeted (such as in the 1920s).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of the population that is Catholic was used as a determinant due to the association of the religion to many urban immigrants who hailed from Europe.  Religion and its’ effects on education was, therefore, not the area of concern for Goldin and Katz in itself.  Instead, the demographic that constituted what happened to be most Catholics was one of a low-skill laborer relative to those who had already established themselves firmly in the US.  This cheap, low-skill labor was in high demand in urban centers that thrived off manufacturing, meaning a high concentration of foreign-born citizens called the city home.  They state the number of foreign residents in a state meant a greater degree of urbanization was present.  In conclusion, they found that this correlated with low high school graduation rates the more urban an area becomes, as the demand for high-skilled, educated labor is not nearly as present.</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Foregone wages was the main factor taken into consideration, as the years spent in school could have gone towards more income earned by participating in the workforce.  In further detail they examine the % of the labor force in manufacturing to assess opportunity cost.  A greater percentage meant that getting a high school diploma was wasted time, as foregone wages over that period would have put the individual ahead financially to a greater extent.  This is, of course, taking into consideration the emphasis made in the last question on the fact that manufacturing jobs are associated with low-skilled labor that does not require a complete formal education.</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No, not in terms of a high school degree due to the fact even most low-skill jobs require you graduate or at least obtain your GED.  Considering the rising levels of education of recent decades, using this same variable for a college degree could be applicable.  Arguably, foregoing higher education to enter straight into the workforce can be favorable in terms of opportunity cost for those not educationally inclined or who may not have the available income to pay for a degree without taking out loans.  The former is especially true when considering how expensive the cost of getting a 4 year degree has become, making it a better option for some to forego college.  Despite this, the long-run gains from an individual who does get a degree (especially one from a top-tier institution) will far outweigh what would be earned by foregoing.  Therefore, in modern education in the US it varies from case-to-case on whether the opportunity cost of foregoing a college degree is worth it, but in terms of high school, the same variable is outdated and irrelevant.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entrepreneurial system of labor is defined by smaller firms which, therefore, employ less people.  Due to this, day-to-day interactions between the owners or those running company operations (elites) and employees is more common and direct than would be in a hierarchal system.  Because of this close work proximity, the communication between the two previously mentioned groups is vital; meaning that migrants who had not adopted the English language were at an immediate disadvantage and faced lower prospects of getting hired.  This makes assimilation for new Americans coming to the states at an older age a nearly impossible task.  Younger workers’ greater timeframe available to assimilate and learn the native language made their labor more valuable (as they are an investment), which is likely the reason for the statistics displayed on the graphic.  In the hierarchical organization, owners have the ability to hire what could be deemed the “middle-men,” (or foremen) who owners could ensure possess the language skills to communicate with both cheap, low-skill employees desired for cheap production and the higher-ups.  Immigrants, in effect, rooted themselves in large cities that gave them better prospects to find a job in which they could more easily interact with coworkers, even if it may not pay as much.  These foremen also sped the process of assimilation for migrants under the hierarchal system, allowing English to be mastered quicker, and better jobs to be found as a result.  With better language skills, these formerly very low-skilled laborers were equipped with the means to move into higher-skilled positions on the chain of command, leading to higher wages earned and more opportunities for employment.</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Their piece looked at racism in the South and its negative implications for post-Civil War economic reconstruction.  Share cropping did little to help the conditions of free black farmers, as they were in reality still restricted by and in debt to white landlords.  Similar to debt peonage in Europe, the system was inescapable in fashion, as black farmers were deceived and held captive to an endless cycle of credit owed that they would never be able to repay.  In addition, the lack of crop diversification and crop rotation also capped the revenue blacks could earn while ruining the long-term condition of the small percentage of land portioned to them.  Due to a history of handling the crop combined with assumed low-skills that whites perceived blacks as having, cotton was the only legal agriculture product black famers were allowed to produce.  The lack of crop diversification really reared its ugly head with cotton being the only crop farmable for blacks (once again giving them the short end of the stick due to the large amounts of land needed in said industry to produce significant returns).  Keeping all the prior facts in mind, poor standards of living for blacks was ensured by white landlords through the manipulation of what crop they were allowed to grow, along with a rigged system of share cropping that left its’ victims forever indebted.</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Higgs argued that risks associated with the variability of yields along with the impact that these instabilities had on farm contracts was the main determinant (although he didn’t deny that Southern racism didn’t play a part as well).  This rationality of white landlords is similar to that used by insurance companies, who use demographic info in order to determine rates for individuals.  In this case, the lower the wealth possessed by a person and less accessible credit markets were to them would multiply effects of a bad harvest, resulting in a much greater impact on income earned (and also made doing business with them riskier).  Following the latter, the higher the volatility in the outputs, the more risk that would be associated with the farming contracts.  Therefore, the higher risk individuals tended to get shared-rent contracts, as the losses resulting from a bad harvest would be shared with the landlord, instead of taken on alone.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As specialization between regions began to form in the post- Civil War era, the upper-Midwest took the route of producing consumer manufacturers.  This was mainly due to the geographical distance separating the area from the also manufacturing-heavy East (as railroads were yet to be conceived much less built on such a large scale).  This was a result of the rush westward as population density increased rapidly, which when coupled the decrease in production of “home-grown” goods that accompanied specialization, created demand for manufactured goods that was too expensive if imported from the East coast.  Out of this arose the urban giants of Chicago and Detroit, which still thrive in the same sector in modern days.  Therefore, the incentive to invest in factories, manufacturing, and mechanization was great enough for it to come into fruition, also laying a foundation too firm in the sector once railroads came into play to change course.  In contrast, the South did their part in the specialization process through investing in agricultural goods, certain textiles, printing and publishing as it was able to cheaply obtain shipped manufactured goods from other regions.  Adding everything up, Southern living standards (especially when considering those outside the top bracket) failed to match pace over the long-run, which can be attributed to not only a dependence on manufactured goods from the Midwest and East, but also because of a decision not to invest in the correct infrastructure in sectors that eventually boomed.</w:t>
      </w:r>
    </w:p>
    <w:sectPr>
      <w:headerReference r:id="rId6" w:type="default"/>
      <w:headerReference r:id="rId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