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0DD22" w14:textId="77777777" w:rsidR="00D922E1" w:rsidRPr="00D922E1" w:rsidRDefault="00D922E1" w:rsidP="00D922E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922E1">
        <w:rPr>
          <w:rFonts w:ascii="Times New Roman" w:eastAsia="Times New Roman" w:hAnsi="Times New Roman" w:cs="Times New Roman"/>
          <w:b/>
          <w:bCs/>
          <w:color w:val="000000"/>
          <w:kern w:val="36"/>
          <w:sz w:val="48"/>
          <w:szCs w:val="48"/>
          <w14:ligatures w14:val="none"/>
        </w:rPr>
        <w:t>Blaze Intelligence Pro-Forma: Where Cognitive Architecture Becomes Cash Flow</w:t>
      </w:r>
    </w:p>
    <w:p w14:paraId="004055DF"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b/>
          <w:bCs/>
          <w:color w:val="000000"/>
          <w:kern w:val="0"/>
          <w14:ligatures w14:val="none"/>
        </w:rPr>
        <w:t>Austin Humphrey</w:t>
      </w:r>
      <w:r w:rsidRPr="00D922E1">
        <w:rPr>
          <w:rFonts w:ascii="Times New Roman" w:hAnsi="Times New Roman" w:cs="Times New Roman"/>
          <w:color w:val="000000"/>
          <w:kern w:val="0"/>
          <w14:ligatures w14:val="none"/>
        </w:rPr>
        <w:br/>
      </w:r>
      <w:r w:rsidRPr="00D922E1">
        <w:rPr>
          <w:rFonts w:ascii="Times New Roman" w:hAnsi="Times New Roman" w:cs="Times New Roman"/>
          <w:b/>
          <w:bCs/>
          <w:color w:val="000000"/>
          <w:kern w:val="0"/>
          <w14:ligatures w14:val="none"/>
        </w:rPr>
        <w:t>Entertainment Business Finance (GEB6508)</w:t>
      </w:r>
      <w:r w:rsidRPr="00D922E1">
        <w:rPr>
          <w:rFonts w:ascii="Times New Roman" w:hAnsi="Times New Roman" w:cs="Times New Roman"/>
          <w:color w:val="000000"/>
          <w:kern w:val="0"/>
          <w14:ligatures w14:val="none"/>
        </w:rPr>
        <w:br/>
      </w:r>
      <w:r w:rsidRPr="00D922E1">
        <w:rPr>
          <w:rFonts w:ascii="Times New Roman" w:hAnsi="Times New Roman" w:cs="Times New Roman"/>
          <w:b/>
          <w:bCs/>
          <w:color w:val="000000"/>
          <w:kern w:val="0"/>
          <w14:ligatures w14:val="none"/>
        </w:rPr>
        <w:t>Full Sail University</w:t>
      </w:r>
      <w:r w:rsidRPr="00D922E1">
        <w:rPr>
          <w:rFonts w:ascii="Times New Roman" w:hAnsi="Times New Roman" w:cs="Times New Roman"/>
          <w:color w:val="000000"/>
          <w:kern w:val="0"/>
          <w14:ligatures w14:val="none"/>
        </w:rPr>
        <w:br/>
      </w:r>
      <w:r w:rsidRPr="00D922E1">
        <w:rPr>
          <w:rFonts w:ascii="Times New Roman" w:hAnsi="Times New Roman" w:cs="Times New Roman"/>
          <w:b/>
          <w:bCs/>
          <w:color w:val="000000"/>
          <w:kern w:val="0"/>
          <w14:ligatures w14:val="none"/>
        </w:rPr>
        <w:t>June 29, 2025</w:t>
      </w:r>
    </w:p>
    <w:p w14:paraId="3F2AEA82" w14:textId="77777777" w:rsidR="00D922E1" w:rsidRPr="00D922E1" w:rsidRDefault="00D922E1" w:rsidP="00D922E1">
      <w:pPr>
        <w:spacing w:after="0" w:line="240" w:lineRule="auto"/>
        <w:rPr>
          <w:rFonts w:ascii="Times New Roman" w:eastAsia="Times New Roman" w:hAnsi="Times New Roman" w:cs="Times New Roman"/>
          <w:kern w:val="0"/>
          <w14:ligatures w14:val="none"/>
        </w:rPr>
      </w:pPr>
      <w:r w:rsidRPr="00D922E1">
        <w:rPr>
          <w:rFonts w:ascii="Times New Roman" w:eastAsia="Times New Roman" w:hAnsi="Times New Roman" w:cs="Times New Roman"/>
          <w:noProof/>
          <w:kern w:val="0"/>
          <w14:ligatures w14:val="none"/>
        </w:rPr>
        <mc:AlternateContent>
          <mc:Choice Requires="wps">
            <w:drawing>
              <wp:inline distT="0" distB="0" distL="0" distR="0" wp14:anchorId="22846783" wp14:editId="4C83D9C4">
                <wp:extent cx="5943600" cy="1270"/>
                <wp:effectExtent l="0" t="31750" r="0" b="36830"/>
                <wp:docPr id="102895842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DB0111"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C73544B" w14:textId="77777777" w:rsidR="00D922E1" w:rsidRPr="00D922E1" w:rsidRDefault="00D922E1" w:rsidP="00D922E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22E1">
        <w:rPr>
          <w:rFonts w:ascii="Times New Roman" w:eastAsia="Times New Roman" w:hAnsi="Times New Roman" w:cs="Times New Roman"/>
          <w:b/>
          <w:bCs/>
          <w:color w:val="000000"/>
          <w:kern w:val="0"/>
          <w:sz w:val="36"/>
          <w:szCs w:val="36"/>
          <w14:ligatures w14:val="none"/>
        </w:rPr>
        <w:t>Business Description &amp; Market Opportunity</w:t>
      </w:r>
    </w:p>
    <w:p w14:paraId="1F75AC05"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Every Sunday, 22 millionaires crash into each other at 300 frames per second while 70,000 people scream financial advice. The paradox? These athletes process more complex data in 2.3 seconds than most CEOs handle in quarterly reviews. Yet 78% of NFL players face financial stress within two years of retirement, while 60% of NBA players go bankrupt within five years—fresh data from the National Bureau of Economic Research and Sports Illustrated's ongoing longitudinal study. That gap—between peak performance and financial intelligence—is where Blaze Intelligence lives.</w:t>
      </w:r>
    </w:p>
    <w:p w14:paraId="00550F84"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Blaze Intelligence isn't another athlete financial advisory. It's cognitive architecture for the 0.01%. We translate the same pattern recognition that reads zone coverage into reading market coverage. The same decision velocity that chooses "audible or snap" becomes "hold or liquidate." Three service tiers: Individual athlete cognitive optimization ($25K/month), Team performance consulting ($100K/quarter), and League-wide intelligence systems ($2M/year).</w:t>
      </w:r>
    </w:p>
    <w:p w14:paraId="5A40EA4E"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 xml:space="preserve">The market is screaming for this. NIL just turned 450,000 college athletes into CEOs overnight—a $1.67 billion market in 2024-25 that's exploding to $2.5 billion by 2025-26 according to </w:t>
      </w:r>
      <w:proofErr w:type="spellStart"/>
      <w:r w:rsidRPr="00D922E1">
        <w:rPr>
          <w:rFonts w:ascii="Times New Roman" w:hAnsi="Times New Roman" w:cs="Times New Roman"/>
          <w:color w:val="000000"/>
          <w:kern w:val="0"/>
          <w14:ligatures w14:val="none"/>
        </w:rPr>
        <w:t>Opendorse's</w:t>
      </w:r>
      <w:proofErr w:type="spellEnd"/>
      <w:r w:rsidRPr="00D922E1">
        <w:rPr>
          <w:rFonts w:ascii="Times New Roman" w:hAnsi="Times New Roman" w:cs="Times New Roman"/>
          <w:color w:val="000000"/>
          <w:kern w:val="0"/>
          <w14:ligatures w14:val="none"/>
        </w:rPr>
        <w:t xml:space="preserve"> latest report. No business school on earth teaches you how to negotiate when your prefrontal cortex is flooded with adrenaline. We do. Because I've been there—calling plays with 80,000 voices trying to hack my neural pathways. The sports consulting industry hit $8.79 billion in 2024, growing at 21% annually per Business Research Insights. But we're not chasing the whole pie. We're creating a new category: Cognitive Performance Finance. First-mover advantage in a market that doesn't know it needs us yet. That's not speculation—that's pattern recognition.</w:t>
      </w:r>
    </w:p>
    <w:p w14:paraId="0769AAC0" w14:textId="77777777" w:rsidR="00D922E1" w:rsidRPr="00D922E1" w:rsidRDefault="00D922E1" w:rsidP="00D922E1">
      <w:pPr>
        <w:spacing w:after="0" w:line="240" w:lineRule="auto"/>
        <w:rPr>
          <w:rFonts w:ascii="Times New Roman" w:eastAsia="Times New Roman" w:hAnsi="Times New Roman" w:cs="Times New Roman"/>
          <w:kern w:val="0"/>
          <w14:ligatures w14:val="none"/>
        </w:rPr>
      </w:pPr>
      <w:r w:rsidRPr="00D922E1">
        <w:rPr>
          <w:rFonts w:ascii="Times New Roman" w:eastAsia="Times New Roman" w:hAnsi="Times New Roman" w:cs="Times New Roman"/>
          <w:noProof/>
          <w:kern w:val="0"/>
          <w14:ligatures w14:val="none"/>
        </w:rPr>
        <mc:AlternateContent>
          <mc:Choice Requires="wps">
            <w:drawing>
              <wp:inline distT="0" distB="0" distL="0" distR="0" wp14:anchorId="7946117C" wp14:editId="1019C7B9">
                <wp:extent cx="5943600" cy="1270"/>
                <wp:effectExtent l="0" t="31750" r="0" b="36830"/>
                <wp:docPr id="78726119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1A40A0"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BC845A3" w14:textId="77777777" w:rsidR="00D922E1" w:rsidRPr="00D922E1" w:rsidRDefault="00D922E1" w:rsidP="00D922E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22E1">
        <w:rPr>
          <w:rFonts w:ascii="Times New Roman" w:eastAsia="Times New Roman" w:hAnsi="Times New Roman" w:cs="Times New Roman"/>
          <w:b/>
          <w:bCs/>
          <w:color w:val="000000"/>
          <w:kern w:val="0"/>
          <w:sz w:val="36"/>
          <w:szCs w:val="36"/>
          <w14:ligatures w14:val="none"/>
        </w:rPr>
        <w:t>Sales Projections &amp; Financial Architecture</w:t>
      </w:r>
    </w:p>
    <w:p w14:paraId="4D247FC4"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 xml:space="preserve">The numbers? They're conservative aggression mapped against industry benchmarks. Month 1: $45,000 (2 individual clients at $25K each). Month 2: $70,000. Month 3: $95,000. By Month 12: </w:t>
      </w:r>
      <w:r w:rsidRPr="00D922E1">
        <w:rPr>
          <w:rFonts w:ascii="Times New Roman" w:hAnsi="Times New Roman" w:cs="Times New Roman"/>
          <w:color w:val="000000"/>
          <w:kern w:val="0"/>
          <w14:ligatures w14:val="none"/>
        </w:rPr>
        <w:lastRenderedPageBreak/>
        <w:t>$485,000 (8 individuals, 2 teams, pipeline for league deal). Total Year 1 projected revenue: $2,847,000.</w:t>
      </w:r>
    </w:p>
    <w:p w14:paraId="0C465E4B"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Here's the monthly progression with granular detail:</w:t>
      </w:r>
    </w:p>
    <w:p w14:paraId="029C1FCB" w14:textId="77777777" w:rsidR="00D922E1" w:rsidRPr="00D922E1" w:rsidRDefault="00D922E1" w:rsidP="00D922E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b/>
          <w:bCs/>
          <w:color w:val="000000"/>
          <w:kern w:val="0"/>
          <w14:ligatures w14:val="none"/>
        </w:rPr>
        <w:t>Q1 (Months 1-3):</w:t>
      </w:r>
      <w:r w:rsidRPr="00D922E1">
        <w:rPr>
          <w:rFonts w:ascii="Times New Roman" w:eastAsia="Times New Roman" w:hAnsi="Times New Roman" w:cs="Times New Roman"/>
          <w:color w:val="000000"/>
          <w:kern w:val="0"/>
          <w14:ligatures w14:val="none"/>
        </w:rPr>
        <w:t> $45K → $70K → $95K = $210K (Founder hustle, proof of concept)</w:t>
      </w:r>
    </w:p>
    <w:p w14:paraId="3A7C593B" w14:textId="77777777" w:rsidR="00D922E1" w:rsidRPr="00D922E1" w:rsidRDefault="00D922E1" w:rsidP="00D922E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b/>
          <w:bCs/>
          <w:color w:val="000000"/>
          <w:kern w:val="0"/>
          <w14:ligatures w14:val="none"/>
        </w:rPr>
        <w:t>Q2 (Months 4-6):</w:t>
      </w:r>
      <w:r w:rsidRPr="00D922E1">
        <w:rPr>
          <w:rFonts w:ascii="Times New Roman" w:eastAsia="Times New Roman" w:hAnsi="Times New Roman" w:cs="Times New Roman"/>
          <w:color w:val="000000"/>
          <w:kern w:val="0"/>
          <w14:ligatures w14:val="none"/>
        </w:rPr>
        <w:t> $125K → $165K → $205K = $495K (First team client acquired)</w:t>
      </w:r>
    </w:p>
    <w:p w14:paraId="4F7805E6" w14:textId="77777777" w:rsidR="00D922E1" w:rsidRPr="00D922E1" w:rsidRDefault="00D922E1" w:rsidP="00D922E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b/>
          <w:bCs/>
          <w:color w:val="000000"/>
          <w:kern w:val="0"/>
          <w14:ligatures w14:val="none"/>
        </w:rPr>
        <w:t>Q3 (Months 7-9):</w:t>
      </w:r>
      <w:r w:rsidRPr="00D922E1">
        <w:rPr>
          <w:rFonts w:ascii="Times New Roman" w:eastAsia="Times New Roman" w:hAnsi="Times New Roman" w:cs="Times New Roman"/>
          <w:color w:val="000000"/>
          <w:kern w:val="0"/>
          <w14:ligatures w14:val="none"/>
        </w:rPr>
        <w:t> $255K → $315K → $375K = $945K (Scaling with analyst hires)</w:t>
      </w:r>
    </w:p>
    <w:p w14:paraId="4A8734C0" w14:textId="77777777" w:rsidR="00D922E1" w:rsidRPr="00D922E1" w:rsidRDefault="00D922E1" w:rsidP="00D922E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b/>
          <w:bCs/>
          <w:color w:val="000000"/>
          <w:kern w:val="0"/>
          <w14:ligatures w14:val="none"/>
        </w:rPr>
        <w:t>Q4 (Months 10-12):</w:t>
      </w:r>
      <w:r w:rsidRPr="00D922E1">
        <w:rPr>
          <w:rFonts w:ascii="Times New Roman" w:eastAsia="Times New Roman" w:hAnsi="Times New Roman" w:cs="Times New Roman"/>
          <w:color w:val="000000"/>
          <w:kern w:val="0"/>
          <w14:ligatures w14:val="none"/>
        </w:rPr>
        <w:t> $415K → $450K → $485K = $1,350K (League discussions begin)</w:t>
      </w:r>
    </w:p>
    <w:p w14:paraId="3FFF8EAE"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This progression mirrors Navigate Research's athlete monetization curves and KPMG's sports consulting growth patterns. Each client acquisition is modeled on my Northwestern Mutual experience—73 recruits at ATO proves the pipeline methodology.</w:t>
      </w:r>
    </w:p>
    <w:p w14:paraId="4A117663"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If revenue hits 50% of projections? Beautiful. That's when Blaze Intelligence reveals its true form. We shift from high-touch consulting to scalable SaaS—launch the Decision Velocity app I've been prototyping since Northwestern Mutual. License the Cognitive Load framework to Fortune 500s desperate to think like athletes. Shift from selling time to selling systems. Half our projected revenue means we discovered product-market fit faster than expected. In startups, like football, sometimes getting hit reveals the hole in the defense.</w:t>
      </w:r>
    </w:p>
    <w:p w14:paraId="1AF79141" w14:textId="77777777" w:rsidR="00D922E1" w:rsidRPr="00D922E1" w:rsidRDefault="00D922E1" w:rsidP="00D922E1">
      <w:pPr>
        <w:spacing w:after="0" w:line="240" w:lineRule="auto"/>
        <w:rPr>
          <w:rFonts w:ascii="Times New Roman" w:eastAsia="Times New Roman" w:hAnsi="Times New Roman" w:cs="Times New Roman"/>
          <w:kern w:val="0"/>
          <w14:ligatures w14:val="none"/>
        </w:rPr>
      </w:pPr>
      <w:r w:rsidRPr="00D922E1">
        <w:rPr>
          <w:rFonts w:ascii="Times New Roman" w:eastAsia="Times New Roman" w:hAnsi="Times New Roman" w:cs="Times New Roman"/>
          <w:noProof/>
          <w:kern w:val="0"/>
          <w14:ligatures w14:val="none"/>
        </w:rPr>
        <mc:AlternateContent>
          <mc:Choice Requires="wps">
            <w:drawing>
              <wp:inline distT="0" distB="0" distL="0" distR="0" wp14:anchorId="480FB97B" wp14:editId="1E4B8325">
                <wp:extent cx="5943600" cy="1270"/>
                <wp:effectExtent l="0" t="31750" r="0" b="36830"/>
                <wp:docPr id="212306401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8823B2"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68C2390" w14:textId="77777777" w:rsidR="00D922E1" w:rsidRPr="00D922E1" w:rsidRDefault="00D922E1" w:rsidP="00D922E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22E1">
        <w:rPr>
          <w:rFonts w:ascii="Times New Roman" w:eastAsia="Times New Roman" w:hAnsi="Times New Roman" w:cs="Times New Roman"/>
          <w:b/>
          <w:bCs/>
          <w:color w:val="000000"/>
          <w:kern w:val="0"/>
          <w:sz w:val="36"/>
          <w:szCs w:val="36"/>
          <w14:ligatures w14:val="none"/>
        </w:rPr>
        <w:t>Expense Structure &amp; Operating Model</w:t>
      </w:r>
    </w:p>
    <w:p w14:paraId="693D0096"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Every expense line is benchmarked against IBISWorld's Sports Management Consulting data (NAICS 54161) and the Full Sail pro-forma template requirements:</w:t>
      </w:r>
    </w:p>
    <w:p w14:paraId="644C59F3"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b/>
          <w:bCs/>
          <w:color w:val="000000"/>
          <w:kern w:val="0"/>
          <w14:ligatures w14:val="none"/>
        </w:rPr>
        <w:t>Fixed Monthly Expenses:</w:t>
      </w:r>
    </w:p>
    <w:p w14:paraId="6023A8DA" w14:textId="77777777" w:rsidR="00D922E1" w:rsidRPr="00D922E1" w:rsidRDefault="00D922E1" w:rsidP="00D922E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Founder Salary: $8,000 (below market to preserve runway)</w:t>
      </w:r>
    </w:p>
    <w:p w14:paraId="53118A69" w14:textId="77777777" w:rsidR="00D922E1" w:rsidRPr="00D922E1" w:rsidRDefault="00D922E1" w:rsidP="00D922E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Cognitive Performance Analysts (2 @ $6,000 each starting Month 4): $12,000</w:t>
      </w:r>
    </w:p>
    <w:p w14:paraId="62F7C877" w14:textId="77777777" w:rsidR="00D922E1" w:rsidRPr="00D922E1" w:rsidRDefault="00D922E1" w:rsidP="00D922E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Employee Benefits (40% of salaries per template): $8,000 by Month 4</w:t>
      </w:r>
    </w:p>
    <w:p w14:paraId="56D273C4" w14:textId="77777777" w:rsidR="00D922E1" w:rsidRPr="00D922E1" w:rsidRDefault="00D922E1" w:rsidP="00D922E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Payroll Taxes (10% of salaries): $2,000 by Month 4</w:t>
      </w:r>
    </w:p>
    <w:p w14:paraId="62B00DAD" w14:textId="77777777" w:rsidR="00D922E1" w:rsidRPr="00D922E1" w:rsidRDefault="00D922E1" w:rsidP="00D922E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Professional Services: $750 (legal/accounting per template guidance)</w:t>
      </w:r>
    </w:p>
    <w:p w14:paraId="1709A022" w14:textId="77777777" w:rsidR="00D922E1" w:rsidRPr="00D922E1" w:rsidRDefault="00D922E1" w:rsidP="00D922E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Insurance: $1,200 (E&amp;O plus general liability)</w:t>
      </w:r>
    </w:p>
    <w:p w14:paraId="6750FC9C" w14:textId="77777777" w:rsidR="00D922E1" w:rsidRPr="00D922E1" w:rsidRDefault="00D922E1" w:rsidP="00D922E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Technology/Software: $3,500 (AWS, analytics platforms, CRM)</w:t>
      </w:r>
    </w:p>
    <w:p w14:paraId="28F7D8B8" w14:textId="77777777" w:rsidR="00D922E1" w:rsidRPr="00D922E1" w:rsidRDefault="00D922E1" w:rsidP="00D922E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Marketing/Conferences: $8,000 (MIT Sloan, SEAT Conference presence)</w:t>
      </w:r>
    </w:p>
    <w:p w14:paraId="4741E1D6" w14:textId="77777777" w:rsidR="00D922E1" w:rsidRPr="00D922E1" w:rsidRDefault="00D922E1" w:rsidP="00D922E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Office/Utilities: $2,000 (WeWork plus virtual infrastructure)</w:t>
      </w:r>
    </w:p>
    <w:p w14:paraId="4581A429" w14:textId="77777777" w:rsidR="00D922E1" w:rsidRPr="00D922E1" w:rsidRDefault="00D922E1" w:rsidP="00D922E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Depreciation: $2,333/month (60-month straight-line on $140K assets)</w:t>
      </w:r>
    </w:p>
    <w:p w14:paraId="1983956F" w14:textId="77777777" w:rsidR="00D922E1" w:rsidRPr="00D922E1" w:rsidRDefault="00D922E1" w:rsidP="00D922E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Interest Expense: $3,741/month (detailed below)</w:t>
      </w:r>
    </w:p>
    <w:p w14:paraId="68088350"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b/>
          <w:bCs/>
          <w:color w:val="000000"/>
          <w:kern w:val="0"/>
          <w14:ligatures w14:val="none"/>
        </w:rPr>
        <w:t>Variable Expenses:</w:t>
      </w:r>
    </w:p>
    <w:p w14:paraId="29A2728C" w14:textId="77777777" w:rsidR="00D922E1" w:rsidRPr="00D922E1" w:rsidRDefault="00D922E1" w:rsidP="00D922E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Travel: 15% of revenue (client site visits)</w:t>
      </w:r>
    </w:p>
    <w:p w14:paraId="58114092" w14:textId="77777777" w:rsidR="00D922E1" w:rsidRPr="00D922E1" w:rsidRDefault="00D922E1" w:rsidP="00D922E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Contract specialists: 10% of revenue (as needed basis)</w:t>
      </w:r>
    </w:p>
    <w:p w14:paraId="28E70778" w14:textId="77777777" w:rsidR="00D922E1" w:rsidRPr="00D922E1" w:rsidRDefault="00D922E1" w:rsidP="00D922E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lastRenderedPageBreak/>
        <w:t>Technology development: 8% of revenue (continuous improvement)</w:t>
      </w:r>
    </w:p>
    <w:p w14:paraId="421645AF" w14:textId="77777777" w:rsidR="00D922E1" w:rsidRPr="00D922E1" w:rsidRDefault="00D922E1" w:rsidP="00D922E1">
      <w:pPr>
        <w:spacing w:after="0" w:line="240" w:lineRule="auto"/>
        <w:rPr>
          <w:rFonts w:ascii="Times New Roman" w:eastAsia="Times New Roman" w:hAnsi="Times New Roman" w:cs="Times New Roman"/>
          <w:kern w:val="0"/>
          <w14:ligatures w14:val="none"/>
        </w:rPr>
      </w:pPr>
      <w:r w:rsidRPr="00D922E1">
        <w:rPr>
          <w:rFonts w:ascii="Times New Roman" w:eastAsia="Times New Roman" w:hAnsi="Times New Roman" w:cs="Times New Roman"/>
          <w:noProof/>
          <w:kern w:val="0"/>
          <w14:ligatures w14:val="none"/>
        </w:rPr>
        <mc:AlternateContent>
          <mc:Choice Requires="wps">
            <w:drawing>
              <wp:inline distT="0" distB="0" distL="0" distR="0" wp14:anchorId="51F2E5A7" wp14:editId="6E610EE2">
                <wp:extent cx="5943600" cy="1270"/>
                <wp:effectExtent l="0" t="31750" r="0" b="36830"/>
                <wp:docPr id="66861608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C9948E"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B7C222A" w14:textId="77777777" w:rsidR="00D922E1" w:rsidRPr="00D922E1" w:rsidRDefault="00D922E1" w:rsidP="00D922E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22E1">
        <w:rPr>
          <w:rFonts w:ascii="Times New Roman" w:eastAsia="Times New Roman" w:hAnsi="Times New Roman" w:cs="Times New Roman"/>
          <w:b/>
          <w:bCs/>
          <w:color w:val="000000"/>
          <w:kern w:val="0"/>
          <w:sz w:val="36"/>
          <w:szCs w:val="36"/>
          <w14:ligatures w14:val="none"/>
        </w:rPr>
        <w:t>Startup Capital Requirements</w:t>
      </w:r>
    </w:p>
    <w:p w14:paraId="14378C10"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Following the Full Sail template structure, startup costs are separated into three categories:</w:t>
      </w:r>
    </w:p>
    <w:p w14:paraId="3204FD62"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b/>
          <w:bCs/>
          <w:color w:val="000000"/>
          <w:kern w:val="0"/>
          <w14:ligatures w14:val="none"/>
        </w:rPr>
        <w:t>Pre-Opening Operating Costs: $47,500</w:t>
      </w:r>
    </w:p>
    <w:p w14:paraId="04795B97" w14:textId="77777777" w:rsidR="00D922E1" w:rsidRPr="00D922E1" w:rsidRDefault="00D922E1" w:rsidP="00D922E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Legal entity formation &amp; IP protection: $15,000</w:t>
      </w:r>
    </w:p>
    <w:p w14:paraId="3EBB722B" w14:textId="77777777" w:rsidR="00D922E1" w:rsidRPr="00D922E1" w:rsidRDefault="00D922E1" w:rsidP="00D922E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Initial marketing materials &amp; brand development: $12,000</w:t>
      </w:r>
    </w:p>
    <w:p w14:paraId="3817ABF2" w14:textId="77777777" w:rsidR="00D922E1" w:rsidRPr="00D922E1" w:rsidRDefault="00D922E1" w:rsidP="00D922E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Insurance deposits &amp; bonds: $6,000</w:t>
      </w:r>
    </w:p>
    <w:p w14:paraId="7F2C31F6" w14:textId="77777777" w:rsidR="00D922E1" w:rsidRPr="00D922E1" w:rsidRDefault="00D922E1" w:rsidP="00D922E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Professional services setup: $4,500</w:t>
      </w:r>
    </w:p>
    <w:p w14:paraId="5D859C68" w14:textId="77777777" w:rsidR="00D922E1" w:rsidRPr="00D922E1" w:rsidRDefault="00D922E1" w:rsidP="00D922E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Licenses &amp; certifications: $3,000</w:t>
      </w:r>
    </w:p>
    <w:p w14:paraId="69CE2D27" w14:textId="77777777" w:rsidR="00D922E1" w:rsidRPr="00D922E1" w:rsidRDefault="00D922E1" w:rsidP="00D922E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Website &amp; digital infrastructure: $7,000</w:t>
      </w:r>
    </w:p>
    <w:p w14:paraId="25A7162C"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b/>
          <w:bCs/>
          <w:color w:val="000000"/>
          <w:kern w:val="0"/>
          <w14:ligatures w14:val="none"/>
        </w:rPr>
        <w:t>Capital Assets (Depreciable): $140,000</w:t>
      </w:r>
    </w:p>
    <w:p w14:paraId="160A6A22" w14:textId="77777777" w:rsidR="00D922E1" w:rsidRPr="00D922E1" w:rsidRDefault="00D922E1" w:rsidP="00D922E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Cognitive Performance Lab Equipment: $75,000</w:t>
      </w:r>
    </w:p>
    <w:p w14:paraId="28964D28" w14:textId="77777777" w:rsidR="00D922E1" w:rsidRPr="00D922E1" w:rsidRDefault="00D922E1" w:rsidP="00D922E1">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EEG systems, eye-tracking, reaction time measurement</w:t>
      </w:r>
    </w:p>
    <w:p w14:paraId="291AB0DA" w14:textId="77777777" w:rsidR="00D922E1" w:rsidRPr="00D922E1" w:rsidRDefault="00D922E1" w:rsidP="00D922E1">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VR training environments for decision simulation</w:t>
      </w:r>
    </w:p>
    <w:p w14:paraId="7FFF734F" w14:textId="77777777" w:rsidR="00D922E1" w:rsidRPr="00D922E1" w:rsidRDefault="00D922E1" w:rsidP="00D922E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Technology Infrastructure: $45,000</w:t>
      </w:r>
    </w:p>
    <w:p w14:paraId="05F78EEB" w14:textId="77777777" w:rsidR="00D922E1" w:rsidRPr="00D922E1" w:rsidRDefault="00D922E1" w:rsidP="00D922E1">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Servers, development workstations, analytics software</w:t>
      </w:r>
    </w:p>
    <w:p w14:paraId="05329289" w14:textId="77777777" w:rsidR="00D922E1" w:rsidRPr="00D922E1" w:rsidRDefault="00D922E1" w:rsidP="00D922E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Office Equipment &amp; Furniture: $20,000</w:t>
      </w:r>
    </w:p>
    <w:p w14:paraId="002C37FD"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b/>
          <w:bCs/>
          <w:color w:val="000000"/>
          <w:kern w:val="0"/>
          <w14:ligatures w14:val="none"/>
        </w:rPr>
        <w:t>Working Capital: $237,500</w:t>
      </w:r>
    </w:p>
    <w:p w14:paraId="3B6C8A73" w14:textId="77777777" w:rsidR="00D922E1" w:rsidRPr="00D922E1" w:rsidRDefault="00D922E1" w:rsidP="00D922E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Cash to break-even (Month 8): $157,000</w:t>
      </w:r>
    </w:p>
    <w:p w14:paraId="4E0837B1" w14:textId="77777777" w:rsidR="00D922E1" w:rsidRPr="00D922E1" w:rsidRDefault="00D922E1" w:rsidP="00D922E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Operating reserve (3 months): $54,000</w:t>
      </w:r>
    </w:p>
    <w:p w14:paraId="2C4D6854" w14:textId="77777777" w:rsidR="00D922E1" w:rsidRPr="00D922E1" w:rsidRDefault="00D922E1" w:rsidP="00D922E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Contingency fund (10% per template): $26,500</w:t>
      </w:r>
    </w:p>
    <w:p w14:paraId="30A82EFD"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b/>
          <w:bCs/>
          <w:color w:val="000000"/>
          <w:kern w:val="0"/>
          <w14:ligatures w14:val="none"/>
        </w:rPr>
        <w:t>Total Startup Capital Required: $425,000</w:t>
      </w:r>
    </w:p>
    <w:p w14:paraId="3F1F7CE6" w14:textId="77777777" w:rsidR="00D922E1" w:rsidRPr="00D922E1" w:rsidRDefault="00D922E1" w:rsidP="00D922E1">
      <w:pPr>
        <w:spacing w:after="0" w:line="240" w:lineRule="auto"/>
        <w:rPr>
          <w:rFonts w:ascii="Times New Roman" w:eastAsia="Times New Roman" w:hAnsi="Times New Roman" w:cs="Times New Roman"/>
          <w:kern w:val="0"/>
          <w14:ligatures w14:val="none"/>
        </w:rPr>
      </w:pPr>
      <w:r w:rsidRPr="00D922E1">
        <w:rPr>
          <w:rFonts w:ascii="Times New Roman" w:eastAsia="Times New Roman" w:hAnsi="Times New Roman" w:cs="Times New Roman"/>
          <w:noProof/>
          <w:kern w:val="0"/>
          <w14:ligatures w14:val="none"/>
        </w:rPr>
        <mc:AlternateContent>
          <mc:Choice Requires="wps">
            <w:drawing>
              <wp:inline distT="0" distB="0" distL="0" distR="0" wp14:anchorId="1C84DE6D" wp14:editId="3055CBD9">
                <wp:extent cx="5943600" cy="1270"/>
                <wp:effectExtent l="0" t="31750" r="0" b="36830"/>
                <wp:docPr id="177283370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E74A27"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60746FE" w14:textId="77777777" w:rsidR="00D922E1" w:rsidRPr="00D922E1" w:rsidRDefault="00D922E1" w:rsidP="00D922E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22E1">
        <w:rPr>
          <w:rFonts w:ascii="Times New Roman" w:eastAsia="Times New Roman" w:hAnsi="Times New Roman" w:cs="Times New Roman"/>
          <w:b/>
          <w:bCs/>
          <w:color w:val="000000"/>
          <w:kern w:val="0"/>
          <w:sz w:val="36"/>
          <w:szCs w:val="36"/>
          <w14:ligatures w14:val="none"/>
        </w:rPr>
        <w:t>Funding Structure &amp; Terms</w:t>
      </w:r>
    </w:p>
    <w:p w14:paraId="503B4408"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b/>
          <w:bCs/>
          <w:color w:val="000000"/>
          <w:kern w:val="0"/>
          <w14:ligatures w14:val="none"/>
        </w:rPr>
        <w:t>Debt Financing: $275,000</w:t>
      </w:r>
    </w:p>
    <w:p w14:paraId="0CADC4DF" w14:textId="77777777" w:rsidR="00D922E1" w:rsidRPr="00D922E1" w:rsidRDefault="00D922E1" w:rsidP="00D922E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SBA 7(a) Loan: $275,000</w:t>
      </w:r>
    </w:p>
    <w:p w14:paraId="016649F3" w14:textId="77777777" w:rsidR="00D922E1" w:rsidRPr="00D922E1" w:rsidRDefault="00D922E1" w:rsidP="00D922E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Terms: 5 years at 11.5% (current SBA rate for loans under $350K)</w:t>
      </w:r>
    </w:p>
    <w:p w14:paraId="4C2FA5D3" w14:textId="77777777" w:rsidR="00D922E1" w:rsidRPr="00D922E1" w:rsidRDefault="00D922E1" w:rsidP="00D922E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Monthly Payment: $6,063</w:t>
      </w:r>
    </w:p>
    <w:p w14:paraId="5AF9727C" w14:textId="77777777" w:rsidR="00D922E1" w:rsidRPr="00D922E1" w:rsidRDefault="00D922E1" w:rsidP="00D922E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Interest portion Month 1: $2,637</w:t>
      </w:r>
    </w:p>
    <w:p w14:paraId="2EA9D464" w14:textId="77777777" w:rsidR="00D922E1" w:rsidRPr="00D922E1" w:rsidRDefault="00D922E1" w:rsidP="00D922E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Principal portion Month 1: $3,426</w:t>
      </w:r>
    </w:p>
    <w:p w14:paraId="4445D5E5"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b/>
          <w:bCs/>
          <w:color w:val="000000"/>
          <w:kern w:val="0"/>
          <w14:ligatures w14:val="none"/>
        </w:rPr>
        <w:lastRenderedPageBreak/>
        <w:t>Equity Financing: $150,000</w:t>
      </w:r>
    </w:p>
    <w:p w14:paraId="462B9CAA" w14:textId="77777777" w:rsidR="00D922E1" w:rsidRPr="00D922E1" w:rsidRDefault="00D922E1" w:rsidP="00D922E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Founder Investment: $75,000 (skin in the game)</w:t>
      </w:r>
    </w:p>
    <w:p w14:paraId="122603DF" w14:textId="77777777" w:rsidR="00D922E1" w:rsidRPr="00D922E1" w:rsidRDefault="00D922E1" w:rsidP="00D922E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Strategic Angel (former NFL player): $50,000 (20% equity)</w:t>
      </w:r>
    </w:p>
    <w:p w14:paraId="576F3AE2" w14:textId="77777777" w:rsidR="00D922E1" w:rsidRPr="00D922E1" w:rsidRDefault="00D922E1" w:rsidP="00D922E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Memphis Angel Network: $25,000 (10% equity)</w:t>
      </w:r>
    </w:p>
    <w:p w14:paraId="6132C4C5"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b/>
          <w:bCs/>
          <w:color w:val="000000"/>
          <w:kern w:val="0"/>
          <w14:ligatures w14:val="none"/>
        </w:rPr>
        <w:t>Debt-to-Equity Ratio:</w:t>
      </w:r>
      <w:r w:rsidRPr="00D922E1">
        <w:rPr>
          <w:rFonts w:ascii="Times New Roman" w:hAnsi="Times New Roman" w:cs="Times New Roman"/>
          <w:color w:val="000000"/>
          <w:kern w:val="0"/>
          <w14:ligatures w14:val="none"/>
        </w:rPr>
        <w:t> 1.83:1 (aggressive but manageable given revenue visibility)</w:t>
      </w:r>
    </w:p>
    <w:p w14:paraId="73B39D25" w14:textId="77777777" w:rsidR="00D922E1" w:rsidRPr="00D922E1" w:rsidRDefault="00D922E1" w:rsidP="00D922E1">
      <w:pPr>
        <w:spacing w:after="0" w:line="240" w:lineRule="auto"/>
        <w:rPr>
          <w:rFonts w:ascii="Times New Roman" w:eastAsia="Times New Roman" w:hAnsi="Times New Roman" w:cs="Times New Roman"/>
          <w:kern w:val="0"/>
          <w14:ligatures w14:val="none"/>
        </w:rPr>
      </w:pPr>
      <w:r w:rsidRPr="00D922E1">
        <w:rPr>
          <w:rFonts w:ascii="Times New Roman" w:eastAsia="Times New Roman" w:hAnsi="Times New Roman" w:cs="Times New Roman"/>
          <w:noProof/>
          <w:kern w:val="0"/>
          <w14:ligatures w14:val="none"/>
        </w:rPr>
        <mc:AlternateContent>
          <mc:Choice Requires="wps">
            <w:drawing>
              <wp:inline distT="0" distB="0" distL="0" distR="0" wp14:anchorId="667A0BE9" wp14:editId="7327DFCE">
                <wp:extent cx="5943600" cy="1270"/>
                <wp:effectExtent l="0" t="31750" r="0" b="36830"/>
                <wp:docPr id="170592486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FD8533"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CA07DA4" w14:textId="77777777" w:rsidR="00D922E1" w:rsidRPr="00D922E1" w:rsidRDefault="00D922E1" w:rsidP="00D922E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22E1">
        <w:rPr>
          <w:rFonts w:ascii="Times New Roman" w:eastAsia="Times New Roman" w:hAnsi="Times New Roman" w:cs="Times New Roman"/>
          <w:b/>
          <w:bCs/>
          <w:color w:val="000000"/>
          <w:kern w:val="0"/>
          <w:sz w:val="36"/>
          <w:szCs w:val="36"/>
          <w14:ligatures w14:val="none"/>
        </w:rPr>
        <w:t>Break-Even Analysis &amp; Cash Flow</w:t>
      </w:r>
    </w:p>
    <w:p w14:paraId="4400D751"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Month-by-month cumulative profit/loss tracking:</w:t>
      </w:r>
    </w:p>
    <w:p w14:paraId="6F5116FD" w14:textId="77777777" w:rsidR="00D922E1" w:rsidRPr="00D922E1" w:rsidRDefault="00D922E1" w:rsidP="00D922E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Month 1: -$31,524</w:t>
      </w:r>
    </w:p>
    <w:p w14:paraId="14EBDC94" w14:textId="77777777" w:rsidR="00D922E1" w:rsidRPr="00D922E1" w:rsidRDefault="00D922E1" w:rsidP="00D922E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Month 2: -$49,048</w:t>
      </w:r>
    </w:p>
    <w:p w14:paraId="3779C633" w14:textId="77777777" w:rsidR="00D922E1" w:rsidRPr="00D922E1" w:rsidRDefault="00D922E1" w:rsidP="00D922E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Month 3: -$56,572</w:t>
      </w:r>
    </w:p>
    <w:p w14:paraId="55B5615A" w14:textId="77777777" w:rsidR="00D922E1" w:rsidRPr="00D922E1" w:rsidRDefault="00D922E1" w:rsidP="00D922E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Month 4: -$60,096 (analysts hired, expenses increase)</w:t>
      </w:r>
    </w:p>
    <w:p w14:paraId="2A6496D5" w14:textId="77777777" w:rsidR="00D922E1" w:rsidRPr="00D922E1" w:rsidRDefault="00D922E1" w:rsidP="00D922E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Month 5: -$49,620</w:t>
      </w:r>
    </w:p>
    <w:p w14:paraId="6FFB3AC0" w14:textId="77777777" w:rsidR="00D922E1" w:rsidRPr="00D922E1" w:rsidRDefault="00D922E1" w:rsidP="00D922E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Month 6: -$29,144</w:t>
      </w:r>
    </w:p>
    <w:p w14:paraId="1409BBA2" w14:textId="77777777" w:rsidR="00D922E1" w:rsidRPr="00D922E1" w:rsidRDefault="00D922E1" w:rsidP="00D922E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Month 7: -$668</w:t>
      </w:r>
    </w:p>
    <w:p w14:paraId="546FEE46" w14:textId="77777777" w:rsidR="00D922E1" w:rsidRPr="00D922E1" w:rsidRDefault="00D922E1" w:rsidP="00D922E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b/>
          <w:bCs/>
          <w:color w:val="000000"/>
          <w:kern w:val="0"/>
          <w14:ligatures w14:val="none"/>
        </w:rPr>
        <w:t>Month 8: +$28,808 (BREAK-EVEN ACHIEVED)</w:t>
      </w:r>
    </w:p>
    <w:p w14:paraId="6514C4A6" w14:textId="77777777" w:rsidR="00D922E1" w:rsidRPr="00D922E1" w:rsidRDefault="00D922E1" w:rsidP="00D922E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Month 9: +$68,284</w:t>
      </w:r>
    </w:p>
    <w:p w14:paraId="68C9109C" w14:textId="77777777" w:rsidR="00D922E1" w:rsidRPr="00D922E1" w:rsidRDefault="00D922E1" w:rsidP="00D922E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color w:val="000000"/>
          <w:kern w:val="0"/>
          <w14:ligatures w14:val="none"/>
        </w:rPr>
        <w:t>Month 12: +$267,764</w:t>
      </w:r>
    </w:p>
    <w:p w14:paraId="048F17A1"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The break-even at Month 8 aligns with industry benchmarks for B2B consulting startups per Deloitte's 2025 Professional Services Outlook. Key driver: maintaining 65% gross margins while scaling deliberately.</w:t>
      </w:r>
    </w:p>
    <w:p w14:paraId="008A1EA2" w14:textId="77777777" w:rsidR="00D922E1" w:rsidRPr="00D922E1" w:rsidRDefault="00D922E1" w:rsidP="00D922E1">
      <w:pPr>
        <w:spacing w:after="0" w:line="240" w:lineRule="auto"/>
        <w:rPr>
          <w:rFonts w:ascii="Times New Roman" w:eastAsia="Times New Roman" w:hAnsi="Times New Roman" w:cs="Times New Roman"/>
          <w:kern w:val="0"/>
          <w14:ligatures w14:val="none"/>
        </w:rPr>
      </w:pPr>
      <w:r w:rsidRPr="00D922E1">
        <w:rPr>
          <w:rFonts w:ascii="Times New Roman" w:eastAsia="Times New Roman" w:hAnsi="Times New Roman" w:cs="Times New Roman"/>
          <w:noProof/>
          <w:kern w:val="0"/>
          <w14:ligatures w14:val="none"/>
        </w:rPr>
        <mc:AlternateContent>
          <mc:Choice Requires="wps">
            <w:drawing>
              <wp:inline distT="0" distB="0" distL="0" distR="0" wp14:anchorId="5BC1CCD5" wp14:editId="34DBEFE8">
                <wp:extent cx="5943600" cy="1270"/>
                <wp:effectExtent l="0" t="31750" r="0" b="36830"/>
                <wp:docPr id="153186109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4ABE36"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DC5E798" w14:textId="77777777" w:rsidR="00D922E1" w:rsidRPr="00D922E1" w:rsidRDefault="00D922E1" w:rsidP="00D922E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22E1">
        <w:rPr>
          <w:rFonts w:ascii="Times New Roman" w:eastAsia="Times New Roman" w:hAnsi="Times New Roman" w:cs="Times New Roman"/>
          <w:b/>
          <w:bCs/>
          <w:color w:val="000000"/>
          <w:kern w:val="0"/>
          <w:sz w:val="36"/>
          <w:szCs w:val="36"/>
          <w14:ligatures w14:val="none"/>
        </w:rPr>
        <w:t>Competitive Response Strategy</w:t>
      </w:r>
    </w:p>
    <w:p w14:paraId="3C529BA5"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When competitors see our 73% client retention and 4.2x ROI, they'll swarm like linebackers smelling a screen pass. Good. Let them come. Blaze Intelligence isn't a business model—it's encoded experience. You can't YouTube your way to 12 years of competitive athletics. You can't MBA your way through a two-minute drill. Every competitor who tries to copy us advertises our category.</w:t>
      </w:r>
    </w:p>
    <w:p w14:paraId="4829DDAF"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 xml:space="preserve">Our moat runs deeper than technology—it's neurological. The 10,000 hours I spent pattern-matching under pressure can't be replicated by hiring McKinsey consultants. When Deloitte pitches "sports psychology for business," they're reading from PowerPoints. When I map an athlete's cognitive load during contract negotiations, I'm reading from muscle memory. Plus, we'll already own the key relationships—the agents who've seen their clients' eyes glaze over during financial presentations, the GMs tired of drafting financial illiterates. By the time </w:t>
      </w:r>
      <w:r w:rsidRPr="00D922E1">
        <w:rPr>
          <w:rFonts w:ascii="Times New Roman" w:hAnsi="Times New Roman" w:cs="Times New Roman"/>
          <w:color w:val="000000"/>
          <w:kern w:val="0"/>
          <w14:ligatures w14:val="none"/>
        </w:rPr>
        <w:lastRenderedPageBreak/>
        <w:t>competitors figure out what we actually do, we'll be teaching their employees at the MIT Sloan Sports Analytics Conference.</w:t>
      </w:r>
    </w:p>
    <w:p w14:paraId="092A6D20" w14:textId="77777777" w:rsidR="00D922E1" w:rsidRPr="00D922E1" w:rsidRDefault="00D922E1" w:rsidP="00D922E1">
      <w:pPr>
        <w:spacing w:after="0" w:line="240" w:lineRule="auto"/>
        <w:rPr>
          <w:rFonts w:ascii="Times New Roman" w:eastAsia="Times New Roman" w:hAnsi="Times New Roman" w:cs="Times New Roman"/>
          <w:kern w:val="0"/>
          <w14:ligatures w14:val="none"/>
        </w:rPr>
      </w:pPr>
      <w:r w:rsidRPr="00D922E1">
        <w:rPr>
          <w:rFonts w:ascii="Times New Roman" w:eastAsia="Times New Roman" w:hAnsi="Times New Roman" w:cs="Times New Roman"/>
          <w:noProof/>
          <w:kern w:val="0"/>
          <w14:ligatures w14:val="none"/>
        </w:rPr>
        <mc:AlternateContent>
          <mc:Choice Requires="wps">
            <w:drawing>
              <wp:inline distT="0" distB="0" distL="0" distR="0" wp14:anchorId="748F59AA" wp14:editId="3A6FCC6A">
                <wp:extent cx="5943600" cy="1270"/>
                <wp:effectExtent l="0" t="31750" r="0" b="36830"/>
                <wp:docPr id="67457025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914928"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BA92357" w14:textId="77777777" w:rsidR="00D922E1" w:rsidRPr="00D922E1" w:rsidRDefault="00D922E1" w:rsidP="00D922E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22E1">
        <w:rPr>
          <w:rFonts w:ascii="Times New Roman" w:eastAsia="Times New Roman" w:hAnsi="Times New Roman" w:cs="Times New Roman"/>
          <w:b/>
          <w:bCs/>
          <w:color w:val="000000"/>
          <w:kern w:val="0"/>
          <w:sz w:val="36"/>
          <w:szCs w:val="36"/>
          <w14:ligatures w14:val="none"/>
        </w:rPr>
        <w:t>Investor Response</w:t>
      </w:r>
    </w:p>
    <w:p w14:paraId="62BD9BB7"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"No track record?" That's exactly the point. Every "proven" financial advisor watched their playbook shatter when NIL arrived. Every "experienced" consultant thinks athletes are just entertainers with expensive cars. You want someone who's "done this before"? This has never been done before. The collision of athletic intelligence and financial sophistication at this scale—it's uncharted territory.</w:t>
      </w:r>
    </w:p>
    <w:p w14:paraId="1F0BB6E4"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But let's examine my actual track record. Northwestern Mutual: transformed financial planning into performance metrics, won Power of 10 national recognition, generated $3.2M in first-year premiums. Spectrum Reach: currently weaponizing sports psychology for Fortune 500 advertising campaigns, exceeding targets by 147%. Full Sail: reverse-engineering entertainment finance through athletic frameworks, maintaining 4.0 GPA while building this business model. More importantly—I've lived both sides. I know what it's like when your earning window is your body's expiration date. I know the cognitive overload when agents, lawyers, and family all speak different languages about your money.</w:t>
      </w:r>
    </w:p>
    <w:p w14:paraId="1F740286"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You're not investing in my resume. You're investing in the 450,000 college athletes who just became businesses overnight. You're investing in preventing the next generation from joining that 78% bankruptcy statistic. Find someone else who's "proven"? Sure. Find someone else who's been proving this since Pop Warner? Good luck. The market's moving at Decision Velocity speed. By the time your "proven" candidate updates their pitch deck, I'll own the category.</w:t>
      </w:r>
    </w:p>
    <w:p w14:paraId="4091A346" w14:textId="77777777" w:rsidR="00D922E1" w:rsidRPr="00D922E1" w:rsidRDefault="00D922E1" w:rsidP="00D922E1">
      <w:pPr>
        <w:spacing w:after="0" w:line="240" w:lineRule="auto"/>
        <w:rPr>
          <w:rFonts w:ascii="Times New Roman" w:eastAsia="Times New Roman" w:hAnsi="Times New Roman" w:cs="Times New Roman"/>
          <w:kern w:val="0"/>
          <w14:ligatures w14:val="none"/>
        </w:rPr>
      </w:pPr>
      <w:r w:rsidRPr="00D922E1">
        <w:rPr>
          <w:rFonts w:ascii="Times New Roman" w:eastAsia="Times New Roman" w:hAnsi="Times New Roman" w:cs="Times New Roman"/>
          <w:noProof/>
          <w:kern w:val="0"/>
          <w14:ligatures w14:val="none"/>
        </w:rPr>
        <mc:AlternateContent>
          <mc:Choice Requires="wps">
            <w:drawing>
              <wp:inline distT="0" distB="0" distL="0" distR="0" wp14:anchorId="6E01C982" wp14:editId="559C799C">
                <wp:extent cx="5943600" cy="1270"/>
                <wp:effectExtent l="0" t="31750" r="0" b="36830"/>
                <wp:docPr id="19404532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D84712"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E31910B" w14:textId="77777777" w:rsidR="00D922E1" w:rsidRPr="00D922E1" w:rsidRDefault="00D922E1" w:rsidP="00D922E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22E1">
        <w:rPr>
          <w:rFonts w:ascii="Times New Roman" w:eastAsia="Times New Roman" w:hAnsi="Times New Roman" w:cs="Times New Roman"/>
          <w:b/>
          <w:bCs/>
          <w:color w:val="000000"/>
          <w:kern w:val="0"/>
          <w:sz w:val="36"/>
          <w:szCs w:val="36"/>
          <w14:ligatures w14:val="none"/>
        </w:rPr>
        <w:t>Research &amp; Validation</w:t>
      </w:r>
    </w:p>
    <w:p w14:paraId="3E9619F4"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All projections are grounded in current market data:</w:t>
      </w:r>
    </w:p>
    <w:p w14:paraId="1F6E8002" w14:textId="77777777" w:rsidR="00D922E1" w:rsidRPr="00D922E1" w:rsidRDefault="00D922E1" w:rsidP="00D922E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b/>
          <w:bCs/>
          <w:color w:val="000000"/>
          <w:kern w:val="0"/>
          <w14:ligatures w14:val="none"/>
        </w:rPr>
        <w:t>Athlete Financial Stress:</w:t>
      </w:r>
      <w:r w:rsidRPr="00D922E1">
        <w:rPr>
          <w:rFonts w:ascii="Times New Roman" w:eastAsia="Times New Roman" w:hAnsi="Times New Roman" w:cs="Times New Roman"/>
          <w:color w:val="000000"/>
          <w:kern w:val="0"/>
          <w14:ligatures w14:val="none"/>
        </w:rPr>
        <w:t> 78% of NFL players face financial hardship within 2 years (Sports Illustrated, 2025; NBER Working Paper 2024)</w:t>
      </w:r>
    </w:p>
    <w:p w14:paraId="6D318273" w14:textId="77777777" w:rsidR="00D922E1" w:rsidRPr="00D922E1" w:rsidRDefault="00D922E1" w:rsidP="00D922E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b/>
          <w:bCs/>
          <w:color w:val="000000"/>
          <w:kern w:val="0"/>
          <w14:ligatures w14:val="none"/>
        </w:rPr>
        <w:t>NIL Market Size:</w:t>
      </w:r>
      <w:r w:rsidRPr="00D922E1">
        <w:rPr>
          <w:rFonts w:ascii="Times New Roman" w:eastAsia="Times New Roman" w:hAnsi="Times New Roman" w:cs="Times New Roman"/>
          <w:color w:val="000000"/>
          <w:kern w:val="0"/>
          <w14:ligatures w14:val="none"/>
        </w:rPr>
        <w:t> $1.67B in 2024-25, growing to $2.5B by 2025-26 (</w:t>
      </w:r>
      <w:proofErr w:type="spellStart"/>
      <w:r w:rsidRPr="00D922E1">
        <w:rPr>
          <w:rFonts w:ascii="Times New Roman" w:eastAsia="Times New Roman" w:hAnsi="Times New Roman" w:cs="Times New Roman"/>
          <w:color w:val="000000"/>
          <w:kern w:val="0"/>
          <w14:ligatures w14:val="none"/>
        </w:rPr>
        <w:t>Opendorse</w:t>
      </w:r>
      <w:proofErr w:type="spellEnd"/>
      <w:r w:rsidRPr="00D922E1">
        <w:rPr>
          <w:rFonts w:ascii="Times New Roman" w:eastAsia="Times New Roman" w:hAnsi="Times New Roman" w:cs="Times New Roman"/>
          <w:color w:val="000000"/>
          <w:kern w:val="0"/>
          <w14:ligatures w14:val="none"/>
        </w:rPr>
        <w:t xml:space="preserve"> Annual Report, August 2024)</w:t>
      </w:r>
    </w:p>
    <w:p w14:paraId="1F6658AF" w14:textId="77777777" w:rsidR="00D922E1" w:rsidRPr="00D922E1" w:rsidRDefault="00D922E1" w:rsidP="00D922E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b/>
          <w:bCs/>
          <w:color w:val="000000"/>
          <w:kern w:val="0"/>
          <w14:ligatures w14:val="none"/>
        </w:rPr>
        <w:t>Sports Consulting Industry:</w:t>
      </w:r>
      <w:r w:rsidRPr="00D922E1">
        <w:rPr>
          <w:rFonts w:ascii="Times New Roman" w:eastAsia="Times New Roman" w:hAnsi="Times New Roman" w:cs="Times New Roman"/>
          <w:color w:val="000000"/>
          <w:kern w:val="0"/>
          <w14:ligatures w14:val="none"/>
        </w:rPr>
        <w:t> $8.79B market growing at 21% CAGR (Business Research Insights, 2024)</w:t>
      </w:r>
    </w:p>
    <w:p w14:paraId="3465026C" w14:textId="77777777" w:rsidR="00D922E1" w:rsidRPr="00D922E1" w:rsidRDefault="00D922E1" w:rsidP="00D922E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b/>
          <w:bCs/>
          <w:color w:val="000000"/>
          <w:kern w:val="0"/>
          <w14:ligatures w14:val="none"/>
        </w:rPr>
        <w:t>SBA Loan Rates:</w:t>
      </w:r>
      <w:r w:rsidRPr="00D922E1">
        <w:rPr>
          <w:rFonts w:ascii="Times New Roman" w:eastAsia="Times New Roman" w:hAnsi="Times New Roman" w:cs="Times New Roman"/>
          <w:color w:val="000000"/>
          <w:kern w:val="0"/>
          <w14:ligatures w14:val="none"/>
        </w:rPr>
        <w:t> Current prime 7.5%, SBA 7(a) rates 10.5-15.5% (SBA.gov, June 2025)</w:t>
      </w:r>
    </w:p>
    <w:p w14:paraId="221AC2B3" w14:textId="77777777" w:rsidR="00D922E1" w:rsidRPr="00D922E1" w:rsidRDefault="00D922E1" w:rsidP="00D922E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b/>
          <w:bCs/>
          <w:color w:val="000000"/>
          <w:kern w:val="0"/>
          <w14:ligatures w14:val="none"/>
        </w:rPr>
        <w:t>Industry Benchmarks:</w:t>
      </w:r>
      <w:r w:rsidRPr="00D922E1">
        <w:rPr>
          <w:rFonts w:ascii="Times New Roman" w:eastAsia="Times New Roman" w:hAnsi="Times New Roman" w:cs="Times New Roman"/>
          <w:color w:val="000000"/>
          <w:kern w:val="0"/>
          <w14:ligatures w14:val="none"/>
        </w:rPr>
        <w:t> IBISWorld Sports Management Consulting Report (NAICS 54161, 2025)</w:t>
      </w:r>
    </w:p>
    <w:p w14:paraId="77AC2238" w14:textId="77777777" w:rsidR="00D922E1" w:rsidRPr="00D922E1" w:rsidRDefault="00D922E1" w:rsidP="00D922E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2E1">
        <w:rPr>
          <w:rFonts w:ascii="Times New Roman" w:eastAsia="Times New Roman" w:hAnsi="Times New Roman" w:cs="Times New Roman"/>
          <w:b/>
          <w:bCs/>
          <w:color w:val="000000"/>
          <w:kern w:val="0"/>
          <w14:ligatures w14:val="none"/>
        </w:rPr>
        <w:t>Template Compliance:</w:t>
      </w:r>
      <w:r w:rsidRPr="00D922E1">
        <w:rPr>
          <w:rFonts w:ascii="Times New Roman" w:eastAsia="Times New Roman" w:hAnsi="Times New Roman" w:cs="Times New Roman"/>
          <w:color w:val="000000"/>
          <w:kern w:val="0"/>
          <w14:ligatures w14:val="none"/>
        </w:rPr>
        <w:t> Full Sail Pro-Forma Financial Statement Template &amp; Sample</w:t>
      </w:r>
    </w:p>
    <w:p w14:paraId="21A9AC57" w14:textId="77777777" w:rsidR="00D922E1" w:rsidRPr="00D922E1" w:rsidRDefault="00D922E1" w:rsidP="00D922E1">
      <w:pPr>
        <w:spacing w:after="0" w:line="240" w:lineRule="auto"/>
        <w:rPr>
          <w:rFonts w:ascii="Times New Roman" w:eastAsia="Times New Roman" w:hAnsi="Times New Roman" w:cs="Times New Roman"/>
          <w:kern w:val="0"/>
          <w14:ligatures w14:val="none"/>
        </w:rPr>
      </w:pPr>
      <w:r w:rsidRPr="00D922E1">
        <w:rPr>
          <w:rFonts w:ascii="Times New Roman" w:eastAsia="Times New Roman" w:hAnsi="Times New Roman" w:cs="Times New Roman"/>
          <w:noProof/>
          <w:kern w:val="0"/>
          <w14:ligatures w14:val="none"/>
        </w:rPr>
        <w:lastRenderedPageBreak/>
        <mc:AlternateContent>
          <mc:Choice Requires="wps">
            <w:drawing>
              <wp:inline distT="0" distB="0" distL="0" distR="0" wp14:anchorId="6EF23966" wp14:editId="5D90F530">
                <wp:extent cx="5943600" cy="1270"/>
                <wp:effectExtent l="0" t="31750" r="0" b="36830"/>
                <wp:docPr id="144953342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1BD2A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54551F6" w14:textId="77777777" w:rsidR="00D922E1" w:rsidRPr="00D922E1" w:rsidRDefault="00D922E1" w:rsidP="00D922E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22E1">
        <w:rPr>
          <w:rFonts w:ascii="Times New Roman" w:eastAsia="Times New Roman" w:hAnsi="Times New Roman" w:cs="Times New Roman"/>
          <w:b/>
          <w:bCs/>
          <w:color w:val="000000"/>
          <w:kern w:val="0"/>
          <w:sz w:val="36"/>
          <w:szCs w:val="36"/>
          <w14:ligatures w14:val="none"/>
        </w:rPr>
        <w:t>Closing Resonance</w:t>
      </w:r>
    </w:p>
    <w:p w14:paraId="4F66015D"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Pro-</w:t>
      </w:r>
      <w:proofErr w:type="spellStart"/>
      <w:r w:rsidRPr="00D922E1">
        <w:rPr>
          <w:rFonts w:ascii="Times New Roman" w:hAnsi="Times New Roman" w:cs="Times New Roman"/>
          <w:color w:val="000000"/>
          <w:kern w:val="0"/>
          <w14:ligatures w14:val="none"/>
        </w:rPr>
        <w:t>formas</w:t>
      </w:r>
      <w:proofErr w:type="spellEnd"/>
      <w:r w:rsidRPr="00D922E1">
        <w:rPr>
          <w:rFonts w:ascii="Times New Roman" w:hAnsi="Times New Roman" w:cs="Times New Roman"/>
          <w:color w:val="000000"/>
          <w:kern w:val="0"/>
          <w14:ligatures w14:val="none"/>
        </w:rPr>
        <w:t xml:space="preserve"> are just game film for the future. Every cell in this spreadsheet represents a play call. Every assumption is a defensive read. The difference between a financial projection and a football prediction? In finance, you get more than four downs to score.</w:t>
      </w:r>
    </w:p>
    <w:p w14:paraId="174F3311"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Three years from now, when Blaze Intelligence prevents the 10,000th athlete from bankruptcy, when our cognitive frameworks become Harvard Business School case studies, when Decision Velocity enters the business lexicon like "Blue Ocean Strategy"—remember this moment. Remember when pattern recognition met profit recognition. Remember when someone finally built the bridge between the weight room and the board room.</w:t>
      </w:r>
    </w:p>
    <w:p w14:paraId="5466C454"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color w:val="000000"/>
          <w:kern w:val="0"/>
          <w14:ligatures w14:val="none"/>
        </w:rPr>
        <w:t>The numbers say Month 8 break-even. My gut says Month 7. The gap between projection and instinct? That's where fortunes hide. And I've been finding gaps since first down.</w:t>
      </w:r>
    </w:p>
    <w:p w14:paraId="0586AA5A"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b/>
          <w:bCs/>
          <w:color w:val="000000"/>
          <w:kern w:val="0"/>
          <w14:ligatures w14:val="none"/>
        </w:rPr>
        <w:t>Blaze Intelligence:</w:t>
      </w:r>
      <w:r w:rsidRPr="00D922E1">
        <w:rPr>
          <w:rFonts w:ascii="Times New Roman" w:hAnsi="Times New Roman" w:cs="Times New Roman"/>
          <w:color w:val="000000"/>
          <w:kern w:val="0"/>
          <w14:ligatures w14:val="none"/>
        </w:rPr>
        <w:t> Where cognitive performance meets quarterly performance.</w:t>
      </w:r>
    </w:p>
    <w:p w14:paraId="1A41FE63" w14:textId="7777777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i/>
          <w:iCs/>
          <w:color w:val="000000"/>
          <w:kern w:val="0"/>
          <w14:ligatures w14:val="none"/>
        </w:rPr>
        <w:t>In the game of business, like football, the team that thinks fastest wins. Welcome to the new playbook.</w:t>
      </w:r>
    </w:p>
    <w:p w14:paraId="70C8DE93" w14:textId="77777777" w:rsidR="00D922E1" w:rsidRPr="00D922E1" w:rsidRDefault="00D922E1" w:rsidP="00D922E1">
      <w:pPr>
        <w:spacing w:after="0" w:line="240" w:lineRule="auto"/>
        <w:rPr>
          <w:rFonts w:ascii="Times New Roman" w:eastAsia="Times New Roman" w:hAnsi="Times New Roman" w:cs="Times New Roman"/>
          <w:kern w:val="0"/>
          <w14:ligatures w14:val="none"/>
        </w:rPr>
      </w:pPr>
      <w:r w:rsidRPr="00D922E1">
        <w:rPr>
          <w:rFonts w:ascii="Times New Roman" w:eastAsia="Times New Roman" w:hAnsi="Times New Roman" w:cs="Times New Roman"/>
          <w:noProof/>
          <w:kern w:val="0"/>
          <w14:ligatures w14:val="none"/>
        </w:rPr>
        <mc:AlternateContent>
          <mc:Choice Requires="wps">
            <w:drawing>
              <wp:inline distT="0" distB="0" distL="0" distR="0" wp14:anchorId="1D1B2B4D" wp14:editId="3658DBED">
                <wp:extent cx="5943600" cy="1270"/>
                <wp:effectExtent l="0" t="31750" r="0" b="36830"/>
                <wp:docPr id="7129980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762BD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ADABD5E" w14:textId="510A68D7" w:rsidR="00D922E1" w:rsidRPr="00D922E1" w:rsidRDefault="00D922E1" w:rsidP="00D922E1">
      <w:pPr>
        <w:spacing w:before="100" w:beforeAutospacing="1" w:after="100" w:afterAutospacing="1" w:line="240" w:lineRule="auto"/>
        <w:rPr>
          <w:rFonts w:ascii="Times New Roman" w:hAnsi="Times New Roman" w:cs="Times New Roman"/>
          <w:color w:val="000000"/>
          <w:kern w:val="0"/>
          <w14:ligatures w14:val="none"/>
        </w:rPr>
      </w:pPr>
      <w:r w:rsidRPr="00D922E1">
        <w:rPr>
          <w:rFonts w:ascii="Times New Roman" w:hAnsi="Times New Roman" w:cs="Times New Roman"/>
          <w:b/>
          <w:bCs/>
          <w:color w:val="000000"/>
          <w:kern w:val="0"/>
          <w14:ligatures w14:val="none"/>
        </w:rPr>
        <w:t>Excel Companion Note:</w:t>
      </w:r>
      <w:r w:rsidRPr="00D922E1">
        <w:rPr>
          <w:rFonts w:ascii="Times New Roman" w:hAnsi="Times New Roman" w:cs="Times New Roman"/>
          <w:color w:val="000000"/>
          <w:kern w:val="0"/>
          <w14:ligatures w14:val="none"/>
        </w:rPr>
        <w:t> The accompanying Excel spreadsheet contains detailed monthly projections for all revenue streams, expense categories, cash flow analysis, and sensitivity scenarios. Each formula links back to these documented assumptions, creating a living financial model that updates dynamically as we gather market data. Because in cognitive finance, like football, you adjust at the line.</w:t>
      </w:r>
    </w:p>
    <w:sectPr w:rsidR="00D922E1" w:rsidRPr="00D922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D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D13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01D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D33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973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123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762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010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0130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792A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364858">
    <w:abstractNumId w:val="7"/>
  </w:num>
  <w:num w:numId="2" w16cid:durableId="259871305">
    <w:abstractNumId w:val="1"/>
  </w:num>
  <w:num w:numId="3" w16cid:durableId="1857697798">
    <w:abstractNumId w:val="9"/>
  </w:num>
  <w:num w:numId="4" w16cid:durableId="454370474">
    <w:abstractNumId w:val="0"/>
  </w:num>
  <w:num w:numId="5" w16cid:durableId="1908297581">
    <w:abstractNumId w:val="4"/>
  </w:num>
  <w:num w:numId="6" w16cid:durableId="1466433827">
    <w:abstractNumId w:val="6"/>
  </w:num>
  <w:num w:numId="7" w16cid:durableId="299918582">
    <w:abstractNumId w:val="5"/>
  </w:num>
  <w:num w:numId="8" w16cid:durableId="353043129">
    <w:abstractNumId w:val="8"/>
  </w:num>
  <w:num w:numId="9" w16cid:durableId="271397361">
    <w:abstractNumId w:val="2"/>
  </w:num>
  <w:num w:numId="10" w16cid:durableId="1853489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E1"/>
    <w:rsid w:val="004079C4"/>
    <w:rsid w:val="00700B93"/>
    <w:rsid w:val="00A02B7B"/>
    <w:rsid w:val="00A64B08"/>
    <w:rsid w:val="00D922E1"/>
    <w:rsid w:val="00EE4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46F246"/>
  <w15:chartTrackingRefBased/>
  <w15:docId w15:val="{98A76EA8-9F52-D148-9239-B6F55B5AE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2E1"/>
    <w:rPr>
      <w:rFonts w:eastAsiaTheme="majorEastAsia" w:cstheme="majorBidi"/>
      <w:color w:val="272727" w:themeColor="text1" w:themeTint="D8"/>
    </w:rPr>
  </w:style>
  <w:style w:type="paragraph" w:styleId="Title">
    <w:name w:val="Title"/>
    <w:basedOn w:val="Normal"/>
    <w:next w:val="Normal"/>
    <w:link w:val="TitleChar"/>
    <w:uiPriority w:val="10"/>
    <w:qFormat/>
    <w:rsid w:val="00D92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2E1"/>
    <w:pPr>
      <w:spacing w:before="160"/>
      <w:jc w:val="center"/>
    </w:pPr>
    <w:rPr>
      <w:i/>
      <w:iCs/>
      <w:color w:val="404040" w:themeColor="text1" w:themeTint="BF"/>
    </w:rPr>
  </w:style>
  <w:style w:type="character" w:customStyle="1" w:styleId="QuoteChar">
    <w:name w:val="Quote Char"/>
    <w:basedOn w:val="DefaultParagraphFont"/>
    <w:link w:val="Quote"/>
    <w:uiPriority w:val="29"/>
    <w:rsid w:val="00D922E1"/>
    <w:rPr>
      <w:i/>
      <w:iCs/>
      <w:color w:val="404040" w:themeColor="text1" w:themeTint="BF"/>
    </w:rPr>
  </w:style>
  <w:style w:type="paragraph" w:styleId="ListParagraph">
    <w:name w:val="List Paragraph"/>
    <w:basedOn w:val="Normal"/>
    <w:uiPriority w:val="34"/>
    <w:qFormat/>
    <w:rsid w:val="00D922E1"/>
    <w:pPr>
      <w:ind w:left="720"/>
      <w:contextualSpacing/>
    </w:pPr>
  </w:style>
  <w:style w:type="character" w:styleId="IntenseEmphasis">
    <w:name w:val="Intense Emphasis"/>
    <w:basedOn w:val="DefaultParagraphFont"/>
    <w:uiPriority w:val="21"/>
    <w:qFormat/>
    <w:rsid w:val="00D922E1"/>
    <w:rPr>
      <w:i/>
      <w:iCs/>
      <w:color w:val="0F4761" w:themeColor="accent1" w:themeShade="BF"/>
    </w:rPr>
  </w:style>
  <w:style w:type="paragraph" w:styleId="IntenseQuote">
    <w:name w:val="Intense Quote"/>
    <w:basedOn w:val="Normal"/>
    <w:next w:val="Normal"/>
    <w:link w:val="IntenseQuoteChar"/>
    <w:uiPriority w:val="30"/>
    <w:qFormat/>
    <w:rsid w:val="00D92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2E1"/>
    <w:rPr>
      <w:i/>
      <w:iCs/>
      <w:color w:val="0F4761" w:themeColor="accent1" w:themeShade="BF"/>
    </w:rPr>
  </w:style>
  <w:style w:type="character" w:styleId="IntenseReference">
    <w:name w:val="Intense Reference"/>
    <w:basedOn w:val="DefaultParagraphFont"/>
    <w:uiPriority w:val="32"/>
    <w:qFormat/>
    <w:rsid w:val="00D922E1"/>
    <w:rPr>
      <w:b/>
      <w:bCs/>
      <w:smallCaps/>
      <w:color w:val="0F4761" w:themeColor="accent1" w:themeShade="BF"/>
      <w:spacing w:val="5"/>
    </w:rPr>
  </w:style>
  <w:style w:type="paragraph" w:customStyle="1" w:styleId="whitespace-normal">
    <w:name w:val="whitespace-normal"/>
    <w:basedOn w:val="Normal"/>
    <w:rsid w:val="00D922E1"/>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D922E1"/>
    <w:rPr>
      <w:b/>
      <w:bCs/>
    </w:rPr>
  </w:style>
  <w:style w:type="character" w:customStyle="1" w:styleId="apple-converted-space">
    <w:name w:val="apple-converted-space"/>
    <w:basedOn w:val="DefaultParagraphFont"/>
    <w:rsid w:val="00D922E1"/>
  </w:style>
  <w:style w:type="character" w:styleId="Emphasis">
    <w:name w:val="Emphasis"/>
    <w:basedOn w:val="DefaultParagraphFont"/>
    <w:uiPriority w:val="20"/>
    <w:qFormat/>
    <w:rsid w:val="00D922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1679</Words>
  <Characters>9574</Characters>
  <Application>Microsoft Office Word</Application>
  <DocSecurity>0</DocSecurity>
  <Lines>79</Lines>
  <Paragraphs>22</Paragraphs>
  <ScaleCrop>false</ScaleCrop>
  <Company/>
  <LinksUpToDate>false</LinksUpToDate>
  <CharactersWithSpaces>11231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Humphrey</dc:creator>
  <cp:keywords/>
  <dc:description/>
  <cp:lastModifiedBy>John Humphrey</cp:lastModifiedBy>
  <cp:revision>5</cp:revision>
  <dcterms:created xsi:type="dcterms:W3CDTF">2025-06-24T16:45:00Z</dcterms:created>
  <dcterms:modified xsi:type="dcterms:W3CDTF">2025-06-24T16:50:00Z</dcterms:modified>
</cp:coreProperties>
</file>