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FE040" w14:textId="77777777" w:rsidR="00B00CBD" w:rsidRPr="00B00CBD" w:rsidRDefault="00B00CBD" w:rsidP="00B00C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0CBD">
        <w:rPr>
          <w:rFonts w:ascii="Times New Roman" w:eastAsia="Times New Roman" w:hAnsi="Times New Roman" w:cs="Times New Roman"/>
          <w:b/>
          <w:bCs/>
          <w:kern w:val="36"/>
          <w:sz w:val="48"/>
          <w:szCs w:val="48"/>
          <w14:ligatures w14:val="none"/>
        </w:rPr>
        <w:t>Entertainment Business Finance: Where Pattern Recognition Became Profit Recognition</w:t>
      </w:r>
    </w:p>
    <w:p w14:paraId="03BADDE8"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i/>
          <w:iCs/>
          <w:kern w:val="0"/>
          <w14:ligatures w14:val="none"/>
        </w:rPr>
        <w:t>"Every finance class teaches you to analyze a balance sheet. EBF taught me to read a business model like a free safety reads the quarterback—anticipate, disrupt, capitalize."</w:t>
      </w:r>
    </w:p>
    <w:p w14:paraId="32DFBAEA" w14:textId="77777777" w:rsidR="00B00CBD" w:rsidRPr="00B00CBD" w:rsidRDefault="00B00CBD" w:rsidP="00B00C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0CBD">
        <w:rPr>
          <w:rFonts w:ascii="Times New Roman" w:eastAsia="Times New Roman" w:hAnsi="Times New Roman" w:cs="Times New Roman"/>
          <w:b/>
          <w:bCs/>
          <w:kern w:val="0"/>
          <w:sz w:val="36"/>
          <w:szCs w:val="36"/>
          <w14:ligatures w14:val="none"/>
        </w:rPr>
        <w:t>Original Objective: Architect the Financial Backbone</w:t>
      </w:r>
    </w:p>
    <w:p w14:paraId="4C126E3C"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Walking into Entertainment Business Finance, I wasn't seeking academic validation—I was hunting operational ammunition. My mission: transform Blaze Intelligence from Memphis vision to market reality. Every module, every calculation, every case study needed to map directly onto my business model canvas. I didn't want to learn finance; I wanted to weaponize it.</w:t>
      </w:r>
    </w:p>
    <w:p w14:paraId="7A1BDBB8"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The objective was surgical: extract the financial frameworks that would make Blaze Intelligence investor-ready, operationally bulletproof, and cognitively superior to any sports analytics platform pretending to understand decision-making under pressure.</w:t>
      </w:r>
    </w:p>
    <w:p w14:paraId="19C91F93" w14:textId="77777777" w:rsidR="00B00CBD" w:rsidRPr="00B00CBD" w:rsidRDefault="00B00CBD" w:rsidP="00B00C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0CBD">
        <w:rPr>
          <w:rFonts w:ascii="Times New Roman" w:eastAsia="Times New Roman" w:hAnsi="Times New Roman" w:cs="Times New Roman"/>
          <w:b/>
          <w:bCs/>
          <w:kern w:val="0"/>
          <w:sz w:val="36"/>
          <w:szCs w:val="36"/>
          <w14:ligatures w14:val="none"/>
        </w:rPr>
        <w:t>Key Learnings: Finance Through the Athletic Lens</w:t>
      </w:r>
    </w:p>
    <w:p w14:paraId="53CD1C4C"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b/>
          <w:bCs/>
          <w:kern w:val="0"/>
          <w14:ligatures w14:val="none"/>
        </w:rPr>
        <w:t>Financial Statements as Game Film</w:t>
      </w:r>
      <w:r w:rsidRPr="00B00CBD">
        <w:rPr>
          <w:rFonts w:ascii="Times New Roman" w:eastAsia="Times New Roman" w:hAnsi="Times New Roman" w:cs="Times New Roman"/>
          <w:kern w:val="0"/>
          <w14:ligatures w14:val="none"/>
        </w:rPr>
        <w:br/>
        <w:t>Chapter 3 didn't teach me to read balance sheets—it taught me to decode competitive DNA. Disney's 0.73 current ratio? That's not illiquidity; that's controlled aggression. On the Blaze canvas, this translated to structuring our proprietary AI as a depreciable asset while positioning R&amp;D as strategic liability. Every revenue stream—SaaS subscriptions, defense consulting, IP licensing—became a play call with measurable field position.</w:t>
      </w:r>
    </w:p>
    <w:p w14:paraId="7EC37DE6"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b/>
          <w:bCs/>
          <w:kern w:val="0"/>
          <w14:ligatures w14:val="none"/>
        </w:rPr>
        <w:t>Time Value as Velocity Physics</w:t>
      </w:r>
      <w:r w:rsidRPr="00B00CBD">
        <w:rPr>
          <w:rFonts w:ascii="Times New Roman" w:eastAsia="Times New Roman" w:hAnsi="Times New Roman" w:cs="Times New Roman"/>
          <w:kern w:val="0"/>
          <w14:ligatures w14:val="none"/>
        </w:rPr>
        <w:br/>
        <w:t>TVM wasn't about discount rates—it was about decision architecture. A $150K annual defense contract paid upfront versus $15K monthly? That's the difference between a power run and a draw play. Chapter 8-9's frameworks now govern every Blaze pricing decision: front-load the value, accelerate the cash, weaponize the float. Money doesn't just have time value—it has velocity value.</w:t>
      </w:r>
    </w:p>
    <w:p w14:paraId="2CC1EF25"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b/>
          <w:bCs/>
          <w:kern w:val="0"/>
          <w14:ligatures w14:val="none"/>
        </w:rPr>
        <w:t>Break-Even as the Blitz Read</w:t>
      </w:r>
      <w:r w:rsidRPr="00B00CBD">
        <w:rPr>
          <w:rFonts w:ascii="Times New Roman" w:eastAsia="Times New Roman" w:hAnsi="Times New Roman" w:cs="Times New Roman"/>
          <w:kern w:val="0"/>
          <w14:ligatures w14:val="none"/>
        </w:rPr>
        <w:br/>
        <w:t>My break-even analysis revealed the brutal truth: 4 SaaS clients or 2 custom defense integrations to hit operational sustainability. That's not a spreadsheet exercise—that's a survival countdown. Chapter 5's contribution margin analysis became my client acquisition filter: if they don't generate 65%+ margins, they're practice squad, not starters.</w:t>
      </w:r>
    </w:p>
    <w:p w14:paraId="27002B65"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b/>
          <w:bCs/>
          <w:kern w:val="0"/>
          <w14:ligatures w14:val="none"/>
        </w:rPr>
        <w:t>Pro-Forma as Prophecy</w:t>
      </w:r>
      <w:r w:rsidRPr="00B00CBD">
        <w:rPr>
          <w:rFonts w:ascii="Times New Roman" w:eastAsia="Times New Roman" w:hAnsi="Times New Roman" w:cs="Times New Roman"/>
          <w:kern w:val="0"/>
          <w14:ligatures w14:val="none"/>
        </w:rPr>
        <w:br/>
        <w:t xml:space="preserve">Building Blaze's three-year projections wasn't homework—it was battlefield preparation. </w:t>
      </w:r>
      <w:r w:rsidRPr="00B00CBD">
        <w:rPr>
          <w:rFonts w:ascii="Times New Roman" w:eastAsia="Times New Roman" w:hAnsi="Times New Roman" w:cs="Times New Roman"/>
          <w:kern w:val="0"/>
          <w14:ligatures w14:val="none"/>
        </w:rPr>
        <w:lastRenderedPageBreak/>
        <w:t>Monthly cash burns, scenario stress-testing (what if the DoD contract delays six months?), working capital waterfalls—these became the metrics that turned skeptical VCs into true believers. The pro-forma isn't a prediction; it's a promise backed by pattern recognition.</w:t>
      </w:r>
    </w:p>
    <w:p w14:paraId="4C8D8A12" w14:textId="77777777" w:rsidR="00B00CBD" w:rsidRPr="00B00CBD" w:rsidRDefault="00B00CBD" w:rsidP="00B00C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0CBD">
        <w:rPr>
          <w:rFonts w:ascii="Times New Roman" w:eastAsia="Times New Roman" w:hAnsi="Times New Roman" w:cs="Times New Roman"/>
          <w:b/>
          <w:bCs/>
          <w:kern w:val="0"/>
          <w:sz w:val="36"/>
          <w:szCs w:val="36"/>
          <w14:ligatures w14:val="none"/>
        </w:rPr>
        <w:t>Application: From Theory to Territory</w:t>
      </w:r>
    </w:p>
    <w:p w14:paraId="6CF6C035"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b/>
          <w:bCs/>
          <w:kern w:val="0"/>
          <w14:ligatures w14:val="none"/>
        </w:rPr>
        <w:t>The Canvas Lives</w:t>
      </w:r>
      <w:r w:rsidRPr="00B00CBD">
        <w:rPr>
          <w:rFonts w:ascii="Times New Roman" w:eastAsia="Times New Roman" w:hAnsi="Times New Roman" w:cs="Times New Roman"/>
          <w:kern w:val="0"/>
          <w14:ligatures w14:val="none"/>
        </w:rPr>
        <w:br/>
        <w:t>Every EBF framework now pulses through Blaze's operational DNA. Key Resources aren't evaluated on technical merit alone but on their ROI velocity—how fast can that MIT data scientist convert R&amp;D burn into recurring revenue? Cost Structure isn't about minimization; it's about optimization. Every dollar spent must generate exponential return or it's benched.</w:t>
      </w:r>
    </w:p>
    <w:p w14:paraId="5138B221"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b/>
          <w:bCs/>
          <w:kern w:val="0"/>
          <w14:ligatures w14:val="none"/>
        </w:rPr>
        <w:t>Decision Velocity as Financial Discipline</w:t>
      </w:r>
      <w:r w:rsidRPr="00B00CBD">
        <w:rPr>
          <w:rFonts w:ascii="Times New Roman" w:eastAsia="Times New Roman" w:hAnsi="Times New Roman" w:cs="Times New Roman"/>
          <w:kern w:val="0"/>
          <w14:ligatures w14:val="none"/>
        </w:rPr>
        <w:br/>
        <w:t>When Blaze promises "cognitive analytics at the speed of sport," that's not marketing—it's our financial operating system. Contract negotiations run through NPV analysis in real-time. Customer acquisition costs get stress-tested against lifetime value before the first pitch. We don't just model scenarios; we model probabilities at game speed.</w:t>
      </w:r>
    </w:p>
    <w:p w14:paraId="07168604"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b/>
          <w:bCs/>
          <w:kern w:val="0"/>
          <w14:ligatures w14:val="none"/>
        </w:rPr>
        <w:t>Memphis Math</w:t>
      </w:r>
      <w:r w:rsidRPr="00B00CBD">
        <w:rPr>
          <w:rFonts w:ascii="Times New Roman" w:eastAsia="Times New Roman" w:hAnsi="Times New Roman" w:cs="Times New Roman"/>
          <w:kern w:val="0"/>
          <w14:ligatures w14:val="none"/>
        </w:rPr>
        <w:br/>
        <w:t>The biggest revelation? Finance isn't math—it's psychology at scale. Every metric hides a human behavior. Every ratio reveals an assumption. EBF taught me to read those patterns like defensive formations. Now when investors ask about our burn rate, I don't just show them numbers—I show them the cognitive architecture behind sustainable velocity.</w:t>
      </w:r>
    </w:p>
    <w:p w14:paraId="061FFBC2" w14:textId="77777777" w:rsidR="00B00CBD" w:rsidRPr="00B00CBD" w:rsidRDefault="00B00CBD" w:rsidP="00B00C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0CBD">
        <w:rPr>
          <w:rFonts w:ascii="Times New Roman" w:eastAsia="Times New Roman" w:hAnsi="Times New Roman" w:cs="Times New Roman"/>
          <w:b/>
          <w:bCs/>
          <w:kern w:val="0"/>
          <w:sz w:val="36"/>
          <w:szCs w:val="36"/>
          <w14:ligatures w14:val="none"/>
        </w:rPr>
        <w:t>The Transformation: Finance Became Philosophy</w:t>
      </w:r>
    </w:p>
    <w:p w14:paraId="1409ECB7"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EBF didn't make me financially literate—it made me financially dangerous. I now see every business model as a living organism with a cardiovascular system (cash flow), skeletal structure (assets), and neural pathways (decision processes). Break-even isn't a milestone; it's a launching pad. Working capital isn't a requirement; it's rocket fuel.</w:t>
      </w:r>
    </w:p>
    <w:p w14:paraId="5BCAD489"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Most importantly, EBF revealed that entertainment finance isn't about entertainment or finance—it's about engineering experiences that scale. Whether that's Disney engineering nostalgia or Blaze engineering decision superiority, the math remains constant: Revenue - Expenses = Magic, but only if you understand the cognitive cost of capital.</w:t>
      </w:r>
    </w:p>
    <w:p w14:paraId="0F48847B" w14:textId="77777777" w:rsidR="00B00CBD" w:rsidRPr="00B00CBD" w:rsidRDefault="00B00CBD" w:rsidP="00B00C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0CBD">
        <w:rPr>
          <w:rFonts w:ascii="Times New Roman" w:eastAsia="Times New Roman" w:hAnsi="Times New Roman" w:cs="Times New Roman"/>
          <w:b/>
          <w:bCs/>
          <w:kern w:val="0"/>
          <w:sz w:val="36"/>
          <w:szCs w:val="36"/>
          <w14:ligatures w14:val="none"/>
        </w:rPr>
        <w:t>Closing Resonance</w:t>
      </w:r>
    </w:p>
    <w:p w14:paraId="6C0F2E0F"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i/>
          <w:iCs/>
          <w:kern w:val="0"/>
          <w14:ligatures w14:val="none"/>
        </w:rPr>
        <w:t>"Finance isn't about dollars and cents. It's about time, leverage, and knowing when to audible. EBF made every line on my canvas sweat equity—and that's the difference between building a business and building a category."</w:t>
      </w:r>
    </w:p>
    <w:p w14:paraId="1D66EB50"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 xml:space="preserve">Three years from now, when Blaze Intelligence prevents the 10,000th athlete from bankruptcy, when our cognitive frameworks become McKinsey's newest offering, when Decision Velocity enters the Harvard Business Review—remember this moment. Remember when pattern </w:t>
      </w:r>
      <w:r w:rsidRPr="00B00CBD">
        <w:rPr>
          <w:rFonts w:ascii="Times New Roman" w:eastAsia="Times New Roman" w:hAnsi="Times New Roman" w:cs="Times New Roman"/>
          <w:kern w:val="0"/>
          <w14:ligatures w14:val="none"/>
        </w:rPr>
        <w:lastRenderedPageBreak/>
        <w:t>recognition met profit recognition. Remember when someone finally quantified the unquantifiable.</w:t>
      </w:r>
    </w:p>
    <w:p w14:paraId="105E2B44"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The pro-forma says we break even Month 8. My gut says Month 7. The gap between projection and instinct? That's where fortunes hide. And I've been finding gaps since first down.</w:t>
      </w:r>
    </w:p>
    <w:p w14:paraId="07AE82F5"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b/>
          <w:bCs/>
          <w:kern w:val="0"/>
          <w14:ligatures w14:val="none"/>
        </w:rPr>
        <w:t>From Beale Street to Wall Street, from gridiron to spreadsheet—it's all pattern recognition. EBF just gave me a new playbook.</w:t>
      </w:r>
    </w:p>
    <w:p w14:paraId="4CE2ADC5"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i/>
          <w:iCs/>
          <w:kern w:val="0"/>
          <w14:ligatures w14:val="none"/>
        </w:rPr>
        <w:t>Austin Humphrey</w:t>
      </w:r>
      <w:r w:rsidRPr="00B00CBD">
        <w:rPr>
          <w:rFonts w:ascii="Times New Roman" w:eastAsia="Times New Roman" w:hAnsi="Times New Roman" w:cs="Times New Roman"/>
          <w:i/>
          <w:iCs/>
          <w:kern w:val="0"/>
          <w14:ligatures w14:val="none"/>
        </w:rPr>
        <w:br/>
        <w:t>Blaze Intelligence: Where Cognitive Performance Meets Quarterly Performance</w:t>
      </w:r>
    </w:p>
    <w:p w14:paraId="2F314452" w14:textId="77777777" w:rsidR="00B00CBD" w:rsidRPr="00B00CBD" w:rsidRDefault="00B00CBD" w:rsidP="00B00CBD">
      <w:pPr>
        <w:spacing w:after="0"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noProof/>
          <w:kern w:val="0"/>
          <w14:ligatures w14:val="none"/>
        </w:rPr>
      </w:r>
      <w:r w:rsidR="00B00CBD" w:rsidRPr="00B00CBD">
        <w:rPr>
          <w:rFonts w:ascii="Times New Roman" w:eastAsia="Times New Roman" w:hAnsi="Times New Roman" w:cs="Times New Roman"/>
          <w:noProof/>
          <w:kern w:val="0"/>
          <w14:ligatures w14:val="none"/>
        </w:rPr>
        <w:pict w14:anchorId="06364CE0">
          <v:rect id="_x0000_i1025" alt="" style="width:468pt;height:.05pt;mso-width-percent:0;mso-height-percent:0;mso-width-percent:0;mso-height-percent:0" o:hralign="center" o:hrstd="t" o:hr="t" fillcolor="#a0a0a0" stroked="f"/>
        </w:pict>
      </w:r>
    </w:p>
    <w:p w14:paraId="1016CAE5"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b/>
          <w:bCs/>
          <w:kern w:val="0"/>
          <w14:ligatures w14:val="none"/>
        </w:rPr>
        <w:t>References:</w:t>
      </w:r>
    </w:p>
    <w:p w14:paraId="55726325" w14:textId="77777777" w:rsidR="00B00CBD" w:rsidRPr="00B00CBD" w:rsidRDefault="00B00CBD" w:rsidP="00B00C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Business Model Canvas: https://next.canvanizer.com/canvas/iv8MqCOseW7zx</w:t>
      </w:r>
    </w:p>
    <w:p w14:paraId="205265E0" w14:textId="77777777" w:rsidR="00B00CBD" w:rsidRPr="00B00CBD" w:rsidRDefault="00B00CBD" w:rsidP="00B00C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Pro-Forma Financial Model: "Blaze Intelligence Pro-Forma: Where Cognitive Architecture Becomes Cash Flow"</w:t>
      </w:r>
    </w:p>
    <w:p w14:paraId="141AF747" w14:textId="77777777" w:rsidR="00B00CBD" w:rsidRPr="00B00CBD" w:rsidRDefault="00B00CBD" w:rsidP="00B00C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Break-Even Analysis: "Break-Even at the Crossroads: Where Revenue Meets Reality"</w:t>
      </w:r>
    </w:p>
    <w:p w14:paraId="080DA2F2" w14:textId="0C1E018D" w:rsidR="00244684" w:rsidRPr="00B00CBD" w:rsidRDefault="00B00CBD" w:rsidP="00B00C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Time Value Calculations: "Time Value of Money: Where Athletic Instinct Meets Financial Physics"</w:t>
      </w:r>
    </w:p>
    <w:sectPr w:rsidR="00244684" w:rsidRPr="00B00CBD" w:rsidSect="00FC6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F44"/>
    <w:multiLevelType w:val="multilevel"/>
    <w:tmpl w:val="E64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868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CBD"/>
    <w:rsid w:val="00086733"/>
    <w:rsid w:val="00204EE7"/>
    <w:rsid w:val="00244684"/>
    <w:rsid w:val="002C3FFD"/>
    <w:rsid w:val="00662311"/>
    <w:rsid w:val="00700B93"/>
    <w:rsid w:val="00866E0B"/>
    <w:rsid w:val="00A64FDF"/>
    <w:rsid w:val="00B00CBD"/>
    <w:rsid w:val="00DD2213"/>
    <w:rsid w:val="00E63963"/>
    <w:rsid w:val="00FC6CF4"/>
    <w:rsid w:val="00FF0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CF298"/>
  <w14:defaultImageDpi w14:val="32767"/>
  <w15:chartTrackingRefBased/>
  <w15:docId w15:val="{04FAD1EB-B108-F74F-895D-DA82D367C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0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0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CBD"/>
    <w:rPr>
      <w:rFonts w:eastAsiaTheme="majorEastAsia" w:cstheme="majorBidi"/>
      <w:color w:val="272727" w:themeColor="text1" w:themeTint="D8"/>
    </w:rPr>
  </w:style>
  <w:style w:type="paragraph" w:styleId="Title">
    <w:name w:val="Title"/>
    <w:basedOn w:val="Normal"/>
    <w:next w:val="Normal"/>
    <w:link w:val="TitleChar"/>
    <w:uiPriority w:val="10"/>
    <w:qFormat/>
    <w:rsid w:val="00B00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CBD"/>
    <w:pPr>
      <w:spacing w:before="160"/>
      <w:jc w:val="center"/>
    </w:pPr>
    <w:rPr>
      <w:i/>
      <w:iCs/>
      <w:color w:val="404040" w:themeColor="text1" w:themeTint="BF"/>
    </w:rPr>
  </w:style>
  <w:style w:type="character" w:customStyle="1" w:styleId="QuoteChar">
    <w:name w:val="Quote Char"/>
    <w:basedOn w:val="DefaultParagraphFont"/>
    <w:link w:val="Quote"/>
    <w:uiPriority w:val="29"/>
    <w:rsid w:val="00B00CBD"/>
    <w:rPr>
      <w:i/>
      <w:iCs/>
      <w:color w:val="404040" w:themeColor="text1" w:themeTint="BF"/>
    </w:rPr>
  </w:style>
  <w:style w:type="paragraph" w:styleId="ListParagraph">
    <w:name w:val="List Paragraph"/>
    <w:basedOn w:val="Normal"/>
    <w:uiPriority w:val="34"/>
    <w:qFormat/>
    <w:rsid w:val="00B00CBD"/>
    <w:pPr>
      <w:ind w:left="720"/>
      <w:contextualSpacing/>
    </w:pPr>
  </w:style>
  <w:style w:type="character" w:styleId="IntenseEmphasis">
    <w:name w:val="Intense Emphasis"/>
    <w:basedOn w:val="DefaultParagraphFont"/>
    <w:uiPriority w:val="21"/>
    <w:qFormat/>
    <w:rsid w:val="00B00CBD"/>
    <w:rPr>
      <w:i/>
      <w:iCs/>
      <w:color w:val="0F4761" w:themeColor="accent1" w:themeShade="BF"/>
    </w:rPr>
  </w:style>
  <w:style w:type="paragraph" w:styleId="IntenseQuote">
    <w:name w:val="Intense Quote"/>
    <w:basedOn w:val="Normal"/>
    <w:next w:val="Normal"/>
    <w:link w:val="IntenseQuoteChar"/>
    <w:uiPriority w:val="30"/>
    <w:qFormat/>
    <w:rsid w:val="00B00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CBD"/>
    <w:rPr>
      <w:i/>
      <w:iCs/>
      <w:color w:val="0F4761" w:themeColor="accent1" w:themeShade="BF"/>
    </w:rPr>
  </w:style>
  <w:style w:type="character" w:styleId="IntenseReference">
    <w:name w:val="Intense Reference"/>
    <w:basedOn w:val="DefaultParagraphFont"/>
    <w:uiPriority w:val="32"/>
    <w:qFormat/>
    <w:rsid w:val="00B00CBD"/>
    <w:rPr>
      <w:b/>
      <w:bCs/>
      <w:smallCaps/>
      <w:color w:val="0F4761" w:themeColor="accent1" w:themeShade="BF"/>
      <w:spacing w:val="5"/>
    </w:rPr>
  </w:style>
  <w:style w:type="paragraph" w:styleId="NormalWeb">
    <w:name w:val="Normal (Web)"/>
    <w:basedOn w:val="Normal"/>
    <w:uiPriority w:val="99"/>
    <w:semiHidden/>
    <w:unhideWhenUsed/>
    <w:rsid w:val="00B00C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00CBD"/>
    <w:rPr>
      <w:i/>
      <w:iCs/>
    </w:rPr>
  </w:style>
  <w:style w:type="character" w:styleId="Strong">
    <w:name w:val="Strong"/>
    <w:basedOn w:val="DefaultParagraphFont"/>
    <w:uiPriority w:val="22"/>
    <w:qFormat/>
    <w:rsid w:val="00B00C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871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876</Words>
  <Characters>4999</Characters>
  <Application>Microsoft Office Word</Application>
  <DocSecurity>0</DocSecurity>
  <Lines>41</Lines>
  <Paragraphs>11</Paragraphs>
  <ScaleCrop>false</ScaleCrop>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3</cp:revision>
  <dcterms:created xsi:type="dcterms:W3CDTF">2025-06-24T18:03:00Z</dcterms:created>
  <dcterms:modified xsi:type="dcterms:W3CDTF">2025-06-24T18:07:00Z</dcterms:modified>
</cp:coreProperties>
</file>