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BF5700"/>
          <w:sz w:val="72"/>
          <w:szCs w:val="72"/>
        </w:rPr>
        <w:t xml:space="preserve">BUSINESS PLAN</w:t>
      </w:r>
    </w:p>
    <w:p>
      <w:pPr>
        <w:spacing w:before="400"/>
        <w:jc w:val="center"/>
      </w:pPr>
      <w:r>
        <w:rPr>
          <w:rFonts w:ascii="Arial" w:cs="Arial" w:eastAsia="Arial" w:hAnsi="Arial"/>
          <w:b/>
          <w:bCs/>
          <w:sz w:val="56"/>
          <w:szCs w:val="56"/>
        </w:rPr>
        <w:t xml:space="preserve">BLAZE SPORTS INTEL</w:t>
      </w:r>
    </w:p>
    <w:p>
      <w:pPr>
        <w:spacing w:before="200"/>
        <w:jc w:val="center"/>
      </w:pPr>
      <w:r>
        <w:rPr>
          <w:rFonts w:ascii="Arial" w:cs="Arial" w:eastAsia="Arial" w:hAnsi="Arial"/>
          <w:i/>
          <w:iCs/>
          <w:sz w:val="24"/>
          <w:szCs w:val="24"/>
        </w:rPr>
        <w:t xml:space="preserve">blazesportsintel.com</w:t>
      </w:r>
    </w:p>
    <w:p>
      <w:pPr>
        <w:spacing w:before="800"/>
        <w:jc w:val="center"/>
      </w:pPr>
      <w:r>
        <w:rPr>
          <w:rFonts w:ascii="Arial" w:cs="Arial" w:eastAsia="Arial" w:hAnsi="Arial"/>
          <w:sz w:val="24"/>
          <w:szCs w:val="24"/>
        </w:rPr>
        <w:t xml:space="preserve">January 2026</w:t>
      </w:r>
    </w:p>
    <w:p>
      <w:pPr>
        <w:spacing w:before="200"/>
        <w:jc w:val="center"/>
      </w:pPr>
      <w:r>
        <w:rPr>
          <w:rFonts w:ascii="Arial" w:cs="Arial" w:eastAsia="Arial" w:hAnsi="Arial"/>
          <w:b/>
          <w:bCs/>
          <w:sz w:val="24"/>
          <w:szCs w:val="24"/>
        </w:rPr>
        <w:t xml:space="preserve">Copy A.1</w:t>
      </w:r>
    </w:p>
    <w:p>
      <w:pPr>
        <w:spacing w:before="800"/>
        <w:jc w:val="center"/>
      </w:pPr>
      <w:r>
        <w:rPr>
          <w:rFonts w:ascii="Arial" w:cs="Arial" w:eastAsia="Arial" w:hAnsi="Arial"/>
          <w:b/>
          <w:bCs/>
          <w:sz w:val="32"/>
          <w:szCs w:val="32"/>
        </w:rPr>
        <w:t xml:space="preserve">CONFIDENTIAL</w:t>
      </w:r>
    </w:p>
    <w:p>
      <w:pPr>
        <w:spacing w:before="200"/>
        <w:jc w:val="center"/>
      </w:pPr>
      <w:r>
        <w:rPr>
          <w:rFonts w:ascii="Arial" w:cs="Arial" w:eastAsia="Arial" w:hAnsi="Arial"/>
          <w:i/>
          <w:iCs/>
          <w:sz w:val="20"/>
          <w:szCs w:val="20"/>
        </w:rPr>
        <w:t xml:space="preserve">This document is for information only and is not an offering for sale of any securities of the company. Information disclosed herein should be considered proprietary and confidential. The document is the property of Blaze Sports Intel and may not be disclosed, distributed, or reproduced without the express written permission of Blaze Sports Intel.</w:t>
      </w:r>
    </w:p>
    <w:p>
      <w:pPr>
        <w:spacing w:before="1200"/>
        <w:jc w:val="center"/>
      </w:pPr>
      <w:r>
        <w:rPr>
          <w:rFonts w:ascii="Arial" w:cs="Arial" w:eastAsia="Arial" w:hAnsi="Arial"/>
          <w:b/>
          <w:bCs/>
          <w:sz w:val="24"/>
          <w:szCs w:val="24"/>
        </w:rPr>
        <w:t xml:space="preserve">Austin Humphrey</w:t>
      </w:r>
    </w:p>
    <w:p>
      <w:pPr>
        <w:jc w:val="center"/>
      </w:pPr>
      <w:r>
        <w:rPr>
          <w:rFonts w:ascii="Arial" w:cs="Arial" w:eastAsia="Arial" w:hAnsi="Arial"/>
          <w:sz w:val="24"/>
          <w:szCs w:val="24"/>
        </w:rPr>
        <w:t xml:space="preserve">Founder &amp; CEO</w:t>
      </w:r>
    </w:p>
    <w:p>
      <w:pPr>
        <w:jc w:val="center"/>
      </w:pPr>
      <w:r>
        <w:rPr>
          <w:rFonts w:ascii="Arial" w:cs="Arial" w:eastAsia="Arial" w:hAnsi="Arial"/>
          <w:sz w:val="24"/>
          <w:szCs w:val="24"/>
        </w:rPr>
        <w:t xml:space="preserve">Boerne, Texas</w:t>
      </w:r>
    </w:p>
    <w:p>
      <w:pPr>
        <w:jc w:val="center"/>
      </w:pPr>
      <w:r>
        <w:rPr>
          <w:rFonts w:ascii="Arial" w:cs="Arial" w:eastAsia="Arial" w:hAnsi="Arial"/>
          <w:sz w:val="24"/>
          <w:szCs w:val="24"/>
        </w:rPr>
        <w:t xml:space="preserve">austin@blazesportsintel.com</w:t>
      </w:r>
    </w:p>
    <w:p>
      <w:pPr>
        <w:sectPr>
          <w:pgSz w:w="12240" w:h="15840" w:orient="portrait"/>
          <w:pgMar w:top="1440" w:right="1440" w:bottom="1440" w:left="1440" w:header="708" w:footer="708" w:gutter="0"/>
          <w:pgNumType/>
          <w:titlePg/>
          <w:docGrid w:linePitch="360"/>
        </w:sectPr>
      </w:pPr>
    </w:p>
    <w:p>
      <w:pPr>
        <w:spacing w:before="3000"/>
      </w:pPr>
    </w:p>
    <w:p>
      <w:pPr>
        <w:jc w:val="center"/>
      </w:pPr>
      <w:r>
        <w:rPr>
          <w:rFonts w:ascii="Arial" w:cs="Arial" w:eastAsia="Arial" w:hAnsi="Arial"/>
          <w:b/>
          <w:bCs/>
          <w:color w:val="BF5700"/>
          <w:sz w:val="40"/>
          <w:szCs w:val="40"/>
        </w:rPr>
        <w:t xml:space="preserve">MISSION STATEMENT</w:t>
      </w:r>
    </w:p>
    <w:p>
      <w:pPr>
        <w:spacing w:before="600"/>
        <w:jc w:val="center"/>
      </w:pPr>
      <w:r>
        <w:rPr>
          <w:rFonts w:ascii="Arial" w:cs="Arial" w:eastAsia="Arial" w:hAnsi="Arial"/>
          <w:i/>
          <w:iCs/>
          <w:sz w:val="32"/>
          <w:szCs w:val="32"/>
        </w:rPr>
        <w:t xml:space="preserve">"The work these athletes put in is professional. The coverage should match the grind."</w:t>
      </w:r>
    </w:p>
    <w:p>
      <w:pPr>
        <w:spacing w:before="600"/>
        <w:jc w:val="center"/>
      </w:pPr>
      <w:r>
        <w:rPr>
          <w:rFonts w:ascii="Arial" w:cs="Arial" w:eastAsia="Arial" w:hAnsi="Arial"/>
          <w:sz w:val="24"/>
          <w:szCs w:val="24"/>
        </w:rPr>
        <w:t xml:space="preserve">Blaze Sports Intel delivers championship-quality analytics for college baseball, college football, MLB, and the NFL. We cover what others overlook. We do it faster. We do it with the authenticity that only comes from genuine passion for the game.</w:t>
      </w:r>
    </w:p>
    <w:p>
      <w:pPr>
        <w:spacing w:before="1200"/>
        <w:jc w:val="center"/>
      </w:pPr>
      <w:r>
        <w:rPr>
          <w:rFonts w:ascii="Arial" w:cs="Arial" w:eastAsia="Arial" w:hAnsi="Arial"/>
          <w:b/>
          <w:bCs/>
          <w:i/>
          <w:iCs/>
          <w:color w:val="BF5700"/>
          <w:sz w:val="32"/>
          <w:szCs w:val="32"/>
        </w:rPr>
        <w:t xml:space="preserve">Born to Blaze the Path Less Beaten</w:t>
      </w:r>
    </w:p>
    <w:p>
      <w:pPr>
        <w:sectPr>
          <w:pgSz w:w="12240" w:h="15840" w:orient="portrait"/>
          <w:pgMar w:top="1440" w:right="1440" w:bottom="1440" w:left="1440" w:header="708" w:footer="708" w:gutter="0"/>
          <w:pgNumType/>
          <w:docGrid w:linePitch="360"/>
        </w:sectPr>
      </w:pPr>
    </w:p>
    <w:p>
      <w:pPr>
        <w:spacing w:after="600"/>
        <w:jc w:val="center"/>
      </w:pPr>
      <w:r>
        <w:rPr>
          <w:rFonts w:ascii="Arial" w:cs="Arial" w:eastAsia="Arial" w:hAnsi="Arial"/>
          <w:b/>
          <w:bCs/>
          <w:color w:val="BF5700"/>
          <w:sz w:val="40"/>
          <w:szCs w:val="40"/>
        </w:rPr>
        <w:t xml:space="preserve">TABLE OF CONTENTS</w:t>
      </w:r>
    </w:p>
    <w:p>
      <w:pPr>
        <w:tabs>
          <w:tab w:val="right" w:pos="9360" w:leader="dot"/>
        </w:tabs>
        <w:spacing w:after="200"/>
      </w:pPr>
      <w:r>
        <w:rPr>
          <w:rFonts w:ascii="Arial" w:cs="Arial" w:eastAsia="Arial" w:hAnsi="Arial"/>
          <w:sz w:val="24"/>
          <w:szCs w:val="24"/>
        </w:rPr>
        <w:t xml:space="preserve">Executive Summary</w:t>
      </w:r>
      <w:r>
        <w:rPr>
          <w:sz w:val="24"/>
          <w:szCs w:val="24"/>
        </w:rPr>
        <w:t xml:space="preserve">	</w:t>
      </w:r>
      <w:r>
        <w:rPr>
          <w:rFonts w:ascii="Arial" w:cs="Arial" w:eastAsia="Arial" w:hAnsi="Arial"/>
          <w:sz w:val="24"/>
          <w:szCs w:val="24"/>
        </w:rPr>
        <w:t xml:space="preserve">4</w:t>
      </w:r>
    </w:p>
    <w:p>
      <w:pPr>
        <w:tabs>
          <w:tab w:val="right" w:pos="9360" w:leader="dot"/>
        </w:tabs>
        <w:spacing w:after="200"/>
      </w:pPr>
      <w:r>
        <w:rPr>
          <w:rFonts w:ascii="Arial" w:cs="Arial" w:eastAsia="Arial" w:hAnsi="Arial"/>
          <w:sz w:val="24"/>
          <w:szCs w:val="24"/>
        </w:rPr>
        <w:t xml:space="preserve">Company Description</w:t>
      </w:r>
      <w:r>
        <w:rPr>
          <w:sz w:val="24"/>
          <w:szCs w:val="24"/>
        </w:rPr>
        <w:t xml:space="preserve">	</w:t>
      </w:r>
      <w:r>
        <w:rPr>
          <w:rFonts w:ascii="Arial" w:cs="Arial" w:eastAsia="Arial" w:hAnsi="Arial"/>
          <w:sz w:val="24"/>
          <w:szCs w:val="24"/>
        </w:rPr>
        <w:t xml:space="preserve">7</w:t>
      </w:r>
    </w:p>
    <w:p>
      <w:pPr>
        <w:tabs>
          <w:tab w:val="right" w:pos="9360" w:leader="dot"/>
        </w:tabs>
        <w:spacing w:after="200"/>
      </w:pPr>
      <w:r>
        <w:rPr>
          <w:rFonts w:ascii="Arial" w:cs="Arial" w:eastAsia="Arial" w:hAnsi="Arial"/>
          <w:sz w:val="24"/>
          <w:szCs w:val="24"/>
        </w:rPr>
        <w:t xml:space="preserve">Industry Analysis and Trends</w:t>
      </w:r>
      <w:r>
        <w:rPr>
          <w:sz w:val="24"/>
          <w:szCs w:val="24"/>
        </w:rPr>
        <w:t xml:space="preserve">	</w:t>
      </w:r>
      <w:r>
        <w:rPr>
          <w:rFonts w:ascii="Arial" w:cs="Arial" w:eastAsia="Arial" w:hAnsi="Arial"/>
          <w:sz w:val="24"/>
          <w:szCs w:val="24"/>
        </w:rPr>
        <w:t xml:space="preserve">9</w:t>
      </w:r>
    </w:p>
    <w:p>
      <w:pPr>
        <w:tabs>
          <w:tab w:val="right" w:pos="9360" w:leader="dot"/>
        </w:tabs>
        <w:spacing w:after="200"/>
      </w:pPr>
      <w:r>
        <w:rPr>
          <w:rFonts w:ascii="Arial" w:cs="Arial" w:eastAsia="Arial" w:hAnsi="Arial"/>
          <w:sz w:val="24"/>
          <w:szCs w:val="24"/>
        </w:rPr>
        <w:t xml:space="preserve">Target Market</w:t>
      </w:r>
      <w:r>
        <w:rPr>
          <w:sz w:val="24"/>
          <w:szCs w:val="24"/>
        </w:rPr>
        <w:t xml:space="preserve">	</w:t>
      </w:r>
      <w:r>
        <w:rPr>
          <w:rFonts w:ascii="Arial" w:cs="Arial" w:eastAsia="Arial" w:hAnsi="Arial"/>
          <w:sz w:val="24"/>
          <w:szCs w:val="24"/>
        </w:rPr>
        <w:t xml:space="preserve">11</w:t>
      </w:r>
    </w:p>
    <w:p>
      <w:pPr>
        <w:tabs>
          <w:tab w:val="right" w:pos="9360" w:leader="dot"/>
        </w:tabs>
        <w:spacing w:after="200"/>
      </w:pPr>
      <w:r>
        <w:rPr>
          <w:rFonts w:ascii="Arial" w:cs="Arial" w:eastAsia="Arial" w:hAnsi="Arial"/>
          <w:sz w:val="24"/>
          <w:szCs w:val="24"/>
        </w:rPr>
        <w:t xml:space="preserve">Competition</w:t>
      </w:r>
      <w:r>
        <w:rPr>
          <w:sz w:val="24"/>
          <w:szCs w:val="24"/>
        </w:rPr>
        <w:t xml:space="preserve">	</w:t>
      </w:r>
      <w:r>
        <w:rPr>
          <w:rFonts w:ascii="Arial" w:cs="Arial" w:eastAsia="Arial" w:hAnsi="Arial"/>
          <w:sz w:val="24"/>
          <w:szCs w:val="24"/>
        </w:rPr>
        <w:t xml:space="preserve">14</w:t>
      </w:r>
    </w:p>
    <w:p>
      <w:pPr>
        <w:tabs>
          <w:tab w:val="right" w:pos="9360" w:leader="dot"/>
        </w:tabs>
        <w:spacing w:after="200"/>
      </w:pPr>
      <w:r>
        <w:rPr>
          <w:rFonts w:ascii="Arial" w:cs="Arial" w:eastAsia="Arial" w:hAnsi="Arial"/>
          <w:sz w:val="24"/>
          <w:szCs w:val="24"/>
        </w:rPr>
        <w:t xml:space="preserve">Marketing Plan and Sales Strategy</w:t>
      </w:r>
      <w:r>
        <w:rPr>
          <w:sz w:val="24"/>
          <w:szCs w:val="24"/>
        </w:rPr>
        <w:t xml:space="preserve">	</w:t>
      </w:r>
      <w:r>
        <w:rPr>
          <w:rFonts w:ascii="Arial" w:cs="Arial" w:eastAsia="Arial" w:hAnsi="Arial"/>
          <w:sz w:val="24"/>
          <w:szCs w:val="24"/>
        </w:rPr>
        <w:t xml:space="preserve">16</w:t>
      </w:r>
    </w:p>
    <w:p>
      <w:pPr>
        <w:tabs>
          <w:tab w:val="right" w:pos="9360" w:leader="dot"/>
        </w:tabs>
        <w:spacing w:after="200"/>
      </w:pPr>
      <w:r>
        <w:rPr>
          <w:rFonts w:ascii="Arial" w:cs="Arial" w:eastAsia="Arial" w:hAnsi="Arial"/>
          <w:sz w:val="24"/>
          <w:szCs w:val="24"/>
        </w:rPr>
        <w:t xml:space="preserve">Operations and Management</w:t>
      </w:r>
      <w:r>
        <w:rPr>
          <w:sz w:val="24"/>
          <w:szCs w:val="24"/>
        </w:rPr>
        <w:t xml:space="preserve">	</w:t>
      </w:r>
      <w:r>
        <w:rPr>
          <w:rFonts w:ascii="Arial" w:cs="Arial" w:eastAsia="Arial" w:hAnsi="Arial"/>
          <w:sz w:val="24"/>
          <w:szCs w:val="24"/>
        </w:rPr>
        <w:t xml:space="preserve">20</w:t>
      </w:r>
    </w:p>
    <w:p>
      <w:pPr>
        <w:tabs>
          <w:tab w:val="right" w:pos="9360" w:leader="dot"/>
        </w:tabs>
        <w:spacing w:after="200"/>
      </w:pPr>
      <w:r>
        <w:rPr>
          <w:rFonts w:ascii="Arial" w:cs="Arial" w:eastAsia="Arial" w:hAnsi="Arial"/>
          <w:sz w:val="24"/>
          <w:szCs w:val="24"/>
        </w:rPr>
        <w:t xml:space="preserve">Financials</w:t>
      </w:r>
      <w:r>
        <w:rPr>
          <w:sz w:val="24"/>
          <w:szCs w:val="24"/>
        </w:rPr>
        <w:t xml:space="preserve">	</w:t>
      </w:r>
      <w:r>
        <w:rPr>
          <w:rFonts w:ascii="Arial" w:cs="Arial" w:eastAsia="Arial" w:hAnsi="Arial"/>
          <w:sz w:val="24"/>
          <w:szCs w:val="24"/>
        </w:rPr>
        <w:t xml:space="preserve">24</w:t>
      </w:r>
    </w:p>
    <w:p>
      <w:pPr>
        <w:tabs>
          <w:tab w:val="right" w:pos="9360" w:leader="dot"/>
        </w:tabs>
        <w:spacing w:after="200"/>
      </w:pPr>
      <w:r>
        <w:rPr>
          <w:rFonts w:ascii="Arial" w:cs="Arial" w:eastAsia="Arial" w:hAnsi="Arial"/>
          <w:sz w:val="24"/>
          <w:szCs w:val="24"/>
        </w:rPr>
        <w:t xml:space="preserve">Appendix: Three-Year Financial Statements</w:t>
      </w:r>
      <w:r>
        <w:rPr>
          <w:sz w:val="24"/>
          <w:szCs w:val="24"/>
        </w:rPr>
        <w:t xml:space="preserve">	</w:t>
      </w:r>
      <w:r>
        <w:rPr>
          <w:rFonts w:ascii="Arial" w:cs="Arial" w:eastAsia="Arial" w:hAnsi="Arial"/>
          <w:sz w:val="24"/>
          <w:szCs w:val="24"/>
        </w:rPr>
        <w:t xml:space="preserve">29</w:t>
      </w:r>
    </w:p>
    <w:p>
      <w:pPr>
        <w:tabs>
          <w:tab w:val="right" w:pos="9360" w:leader="dot"/>
        </w:tabs>
        <w:spacing w:after="200"/>
      </w:pPr>
      <w:r>
        <w:rPr>
          <w:rFonts w:ascii="Arial" w:cs="Arial" w:eastAsia="Arial" w:hAnsi="Arial"/>
          <w:sz w:val="24"/>
          <w:szCs w:val="24"/>
        </w:rPr>
        <w:t xml:space="preserve">References</w:t>
      </w:r>
      <w:r>
        <w:rPr>
          <w:sz w:val="24"/>
          <w:szCs w:val="24"/>
        </w:rPr>
        <w:t xml:space="preserve">	</w:t>
      </w:r>
      <w:r>
        <w:rPr>
          <w:rFonts w:ascii="Arial" w:cs="Arial" w:eastAsia="Arial" w:hAnsi="Arial"/>
          <w:sz w:val="24"/>
          <w:szCs w:val="24"/>
        </w:rPr>
        <w:t xml:space="preserve">34</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rPr>
        <w:t xml:space="preserve">EXECUTIVE SUMMARY</w:t>
      </w:r>
    </w:p>
    <w:p>
      <w:pPr>
        <w:spacing w:after="200"/>
      </w:pPr>
      <w:r>
        <w:rPr>
          <w:rFonts w:ascii="Arial" w:cs="Arial" w:eastAsia="Arial" w:hAnsi="Arial"/>
          <w:sz w:val="24"/>
          <w:szCs w:val="24"/>
        </w:rPr>
        <w:t xml:space="preserve">Blaze Sports Intel (BSI) is a sports analytics company delivering championship-quality coverage for college baseball, college football, Major League Baseball, and the National Football League. Founded in 2025 and headquartered in Boerne, Texas, BSI addresses a significant market gap: college baseball—one of only three revenue-generating NCAA sports—receives minimal coverage from mainstream sports media despite passionate fan bases across 300+ Division I programs.</w:t>
      </w:r>
    </w:p>
    <w:p>
      <w:pPr>
        <w:pStyle w:val="Heading2"/>
        <w:spacing w:before="400" w:after="200"/>
      </w:pPr>
      <w:r>
        <w:rPr>
          <w:rFonts w:ascii="Arial" w:cs="Arial" w:eastAsia="Arial" w:hAnsi="Arial"/>
          <w:b/>
          <w:bCs/>
        </w:rPr>
        <w:t xml:space="preserve">The Opportunity</w:t>
      </w:r>
    </w:p>
    <w:p>
      <w:pPr>
        <w:spacing w:after="200"/>
      </w:pPr>
      <w:r>
        <w:rPr>
          <w:rFonts w:ascii="Arial" w:cs="Arial" w:eastAsia="Arial" w:hAnsi="Arial"/>
          <w:sz w:val="24"/>
          <w:szCs w:val="24"/>
        </w:rPr>
        <w:t xml:space="preserve">The North American sports analytics market reached $3.4 billion in 2024 and is projected to grow at a compound annual growth rate (CAGR) of 28.5% through 2030, reaching approximately $22 billion in North America within a broader $24 billion global market (Grand View Research, 2024). Within this market, college sports represents an underserved segment with dedicated fan bases seeking comprehensive coverage that mainstream media does not provide. BSI captures this opportunity through a mobile-first platform built on Cloudflare's serverless infrastructure, delivering sub-50ms response times globally at a fraction of traditional hosting costs (Cloudflare, Inc., 2025).</w:t>
      </w:r>
    </w:p>
    <w:p>
      <w:pPr>
        <w:pStyle w:val="Heading2"/>
        <w:spacing w:before="400" w:after="200"/>
      </w:pPr>
      <w:r>
        <w:rPr>
          <w:rFonts w:ascii="Arial" w:cs="Arial" w:eastAsia="Arial" w:hAnsi="Arial"/>
          <w:b/>
          <w:bCs/>
        </w:rPr>
        <w:t xml:space="preserve">Products and Services</w:t>
      </w:r>
    </w:p>
    <w:p>
      <w:pPr>
        <w:spacing w:after="200"/>
      </w:pPr>
      <w:r>
        <w:rPr>
          <w:rFonts w:ascii="Arial" w:cs="Arial" w:eastAsia="Arial" w:hAnsi="Arial"/>
          <w:sz w:val="24"/>
          <w:szCs w:val="24"/>
        </w:rPr>
        <w:t xml:space="preserve">BSI operates a tiered subscription model:</w:t>
      </w:r>
    </w:p>
    <w:p>
      <w:pPr>
        <w:pStyle w:val="ListParagraph"/>
        <w:numPr>
          <w:ilvl w:val="0"/>
          <w:numId w:val="2"/>
        </w:numPr>
        <w:spacing w:after="100"/>
      </w:pPr>
      <w:r>
        <w:rPr>
          <w:rFonts w:ascii="Arial" w:cs="Arial" w:eastAsia="Arial" w:hAnsi="Arial"/>
          <w:sz w:val="24"/>
          <w:szCs w:val="24"/>
        </w:rPr>
        <w:t xml:space="preserve">Free ($0/month) provides live scores and basic standings with advertising support</w:t>
      </w:r>
    </w:p>
    <w:p>
      <w:pPr>
        <w:pStyle w:val="ListParagraph"/>
        <w:numPr>
          <w:ilvl w:val="0"/>
          <w:numId w:val="2"/>
        </w:numPr>
        <w:spacing w:after="100"/>
      </w:pPr>
      <w:r>
        <w:rPr>
          <w:rFonts w:ascii="Arial" w:cs="Arial" w:eastAsia="Arial" w:hAnsi="Arial"/>
          <w:sz w:val="24"/>
          <w:szCs w:val="24"/>
        </w:rPr>
        <w:t xml:space="preserve">Pro ($29/month) delivers complete box scores, advanced analytics across all four sports, and no advertisements</w:t>
      </w:r>
    </w:p>
    <w:p>
      <w:pPr>
        <w:pStyle w:val="ListParagraph"/>
        <w:numPr>
          <w:ilvl w:val="0"/>
          <w:numId w:val="2"/>
        </w:numPr>
        <w:spacing w:after="100"/>
      </w:pPr>
      <w:r>
        <w:rPr>
          <w:rFonts w:ascii="Arial" w:cs="Arial" w:eastAsia="Arial" w:hAnsi="Arial"/>
          <w:sz w:val="24"/>
          <w:szCs w:val="24"/>
        </w:rPr>
        <w:t xml:space="preserve">Enterprise ($199/month) offers API access, bulk data exports, custom analytics dashboards, and white-label options for programs, scouts, and media organizations</w:t>
      </w:r>
    </w:p>
    <w:p>
      <w:pPr>
        <w:pStyle w:val="Heading2"/>
        <w:spacing w:before="400" w:after="200"/>
      </w:pPr>
      <w:r>
        <w:rPr>
          <w:rFonts w:ascii="Arial" w:cs="Arial" w:eastAsia="Arial" w:hAnsi="Arial"/>
          <w:b/>
          <w:bCs/>
        </w:rPr>
        <w:t xml:space="preserve">Development Status</w:t>
      </w:r>
    </w:p>
    <w:p>
      <w:pPr>
        <w:spacing w:after="200"/>
      </w:pPr>
      <w:r>
        <w:rPr>
          <w:rFonts w:ascii="Arial" w:cs="Arial" w:eastAsia="Arial" w:hAnsi="Arial"/>
          <w:sz w:val="24"/>
          <w:szCs w:val="24"/>
        </w:rPr>
        <w:t xml:space="preserve">Platform Development Progress:</w:t>
      </w:r>
    </w:p>
    <w:p>
      <w:pPr>
        <w:pStyle w:val="ListParagraph"/>
        <w:numPr>
          <w:ilvl w:val="0"/>
          <w:numId w:val="2"/>
        </w:numPr>
        <w:spacing w:after="100"/>
      </w:pPr>
      <w:r>
        <w:rPr>
          <w:rFonts w:ascii="Arial" w:cs="Arial" w:eastAsia="Arial" w:hAnsi="Arial"/>
          <w:sz w:val="24"/>
          <w:szCs w:val="24"/>
        </w:rPr>
        <w:t xml:space="preserve">Cloudflare Workers infrastructure in active development with core functionality operational</w:t>
      </w:r>
    </w:p>
    <w:p>
      <w:pPr>
        <w:pStyle w:val="ListParagraph"/>
        <w:numPr>
          <w:ilvl w:val="0"/>
          <w:numId w:val="2"/>
        </w:numPr>
        <w:spacing w:after="100"/>
      </w:pPr>
      <w:r>
        <w:rPr>
          <w:rFonts w:ascii="Arial" w:cs="Arial" w:eastAsia="Arial" w:hAnsi="Arial"/>
          <w:sz w:val="24"/>
          <w:szCs w:val="24"/>
        </w:rPr>
        <w:t xml:space="preserve">D1 database architecture designed and configured for multi-sport data management</w:t>
      </w:r>
    </w:p>
    <w:p>
      <w:pPr>
        <w:pStyle w:val="ListParagraph"/>
        <w:numPr>
          <w:ilvl w:val="0"/>
          <w:numId w:val="2"/>
        </w:numPr>
        <w:spacing w:after="100"/>
      </w:pPr>
      <w:r>
        <w:rPr>
          <w:rFonts w:ascii="Arial" w:cs="Arial" w:eastAsia="Arial" w:hAnsi="Arial"/>
          <w:sz w:val="24"/>
          <w:szCs w:val="24"/>
        </w:rPr>
        <w:t xml:space="preserve">API integrations in testing with MLB Stats API and ESPN data sources</w:t>
      </w:r>
    </w:p>
    <w:p>
      <w:pPr>
        <w:pStyle w:val="ListParagraph"/>
        <w:numPr>
          <w:ilvl w:val="0"/>
          <w:numId w:val="2"/>
        </w:numPr>
        <w:spacing w:after="100"/>
      </w:pPr>
      <w:r>
        <w:rPr>
          <w:rFonts w:ascii="Arial" w:cs="Arial" w:eastAsia="Arial" w:hAnsi="Arial"/>
          <w:sz w:val="24"/>
          <w:szCs w:val="24"/>
        </w:rPr>
        <w:t xml:space="preserve">Mobile-first Progressive Web App (PWA) architecture in development</w:t>
      </w:r>
    </w:p>
    <w:p>
      <w:pPr>
        <w:pStyle w:val="ListParagraph"/>
        <w:numPr>
          <w:ilvl w:val="0"/>
          <w:numId w:val="2"/>
        </w:numPr>
        <w:spacing w:after="100"/>
      </w:pPr>
      <w:r>
        <w:rPr>
          <w:rFonts w:ascii="Arial" w:cs="Arial" w:eastAsia="Arial" w:hAnsi="Arial"/>
          <w:sz w:val="24"/>
          <w:szCs w:val="24"/>
        </w:rPr>
        <w:t xml:space="preserve">Internal testing and iteration ongoing</w:t>
      </w:r>
    </w:p>
    <w:p>
      <w:pPr>
        <w:pStyle w:val="ListParagraph"/>
        <w:numPr>
          <w:ilvl w:val="0"/>
          <w:numId w:val="2"/>
        </w:numPr>
        <w:spacing w:after="100"/>
      </w:pPr>
      <w:r>
        <w:rPr>
          <w:rFonts w:ascii="Arial" w:cs="Arial" w:eastAsia="Arial" w:hAnsi="Arial"/>
          <w:sz w:val="24"/>
          <w:szCs w:val="24"/>
        </w:rPr>
        <w:t xml:space="preserve">Commercial launch targeted for Spring 2026 (college baseball season)</w:t>
      </w:r>
    </w:p>
    <w:p>
      <w:pPr>
        <w:pStyle w:val="Heading2"/>
        <w:spacing w:before="400" w:after="200"/>
      </w:pPr>
      <w:r>
        <w:rPr>
          <w:rFonts w:ascii="Arial" w:cs="Arial" w:eastAsia="Arial" w:hAnsi="Arial"/>
          <w:b/>
          <w:bCs/>
        </w:rPr>
        <w:t xml:space="preserve">Management</w:t>
      </w:r>
    </w:p>
    <w:p>
      <w:pPr>
        <w:spacing w:after="200"/>
      </w:pPr>
      <w:r>
        <w:rPr>
          <w:rFonts w:ascii="Arial" w:cs="Arial" w:eastAsia="Arial" w:hAnsi="Arial"/>
          <w:sz w:val="24"/>
          <w:szCs w:val="24"/>
        </w:rPr>
        <w:t xml:space="preserve">Austin Humphrey, Founder and CEO, brings a unique combination of sports expertise and business acumen. A multi-sport high school athlete at Boerne-Champion who trained with MLB professionals including Danny Graves (Cincinnati Reds 2x All-Star) and University of Texas coaches, Humphrey later achieved top 10% national performance at Northwestern Mutual and led data-driven advertising initiatives at Spectrum Reach. He holds a BA from the University of Texas at Austin and an MS in Entertainment Business from Full Sail University (December 2025).</w:t>
      </w:r>
    </w:p>
    <w:p>
      <w:pPr>
        <w:pStyle w:val="Heading2"/>
        <w:spacing w:before="400" w:after="200"/>
      </w:pPr>
      <w:r>
        <w:rPr>
          <w:rFonts w:ascii="Arial" w:cs="Arial" w:eastAsia="Arial" w:hAnsi="Arial"/>
          <w:b/>
          <w:bCs/>
        </w:rPr>
        <w:t xml:space="preserve">Financial Summary</w:t>
      </w:r>
    </w:p>
    <w:p>
      <w:pPr>
        <w:spacing w:after="200"/>
      </w:pPr>
      <w:r>
        <w:rPr>
          <w:rFonts w:ascii="Arial" w:cs="Arial" w:eastAsia="Arial" w:hAnsi="Arial"/>
          <w:sz w:val="24"/>
          <w:szCs w:val="24"/>
        </w:rPr>
        <w:t xml:space="preserve">BSI projects the following three-year financial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
            </w:r>
          </w:p>
        </w:tc>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Year 1</w:t>
            </w:r>
          </w:p>
        </w:tc>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Year 2</w:t>
            </w:r>
          </w:p>
        </w:tc>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Year 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Net Sales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$72,504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$190,144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$430,884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Total Expenses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$84,253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$132,593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$228,313</w:t>
            </w:r>
          </w:p>
        </w:tc>
      </w:tr>
      <w:tr>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Net Income</w:t>
            </w:r>
          </w:p>
        </w:tc>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($11,749)</w:t>
            </w:r>
          </w:p>
        </w:tc>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$57,551</w:t>
            </w:r>
          </w:p>
        </w:tc>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$202,571</w:t>
            </w:r>
          </w:p>
        </w:tc>
      </w:tr>
    </w:tbl>
    <w:p>
      <w:pPr>
        <w:spacing w:after="200"/>
      </w:pPr>
      <w:r>
        <w:rPr>
          <w:rFonts w:ascii="Arial" w:cs="Arial" w:eastAsia="Arial" w:hAnsi="Arial"/>
          <w:sz w:val="24"/>
          <w:szCs w:val="24"/>
        </w:rPr>
        <w:t xml:space="preserve">The company anticipates reaching break-even by Month 15-18 and sustained profitability in Year 2. Year 1 losses reflect front-loaded costs of platform development and market entry, offset by strong subscriber growth that accelerates revenue in Years 2 and 3.</w:t>
      </w:r>
    </w:p>
    <w:p>
      <w:pPr>
        <w:pStyle w:val="Heading2"/>
        <w:spacing w:before="400" w:after="200"/>
      </w:pPr>
      <w:r>
        <w:rPr>
          <w:rFonts w:ascii="Arial" w:cs="Arial" w:eastAsia="Arial" w:hAnsi="Arial"/>
          <w:b/>
          <w:bCs/>
        </w:rPr>
        <w:t xml:space="preserve">Funding Request</w:t>
      </w:r>
    </w:p>
    <w:p>
      <w:pPr>
        <w:spacing w:after="200"/>
      </w:pPr>
      <w:r>
        <w:rPr>
          <w:rFonts w:ascii="Arial" w:cs="Arial" w:eastAsia="Arial" w:hAnsi="Arial"/>
          <w:sz w:val="24"/>
          <w:szCs w:val="24"/>
        </w:rPr>
        <w:t xml:space="preserve">BSI seeks $20,000 in investor capital to complement $50,000 in founder investment, for total initial capitalization of $70,000. These funds will be allocated as follows:</w:t>
      </w:r>
    </w:p>
    <w:p>
      <w:pPr>
        <w:pStyle w:val="ListParagraph"/>
        <w:numPr>
          <w:ilvl w:val="0"/>
          <w:numId w:val="2"/>
        </w:numPr>
        <w:spacing w:after="100"/>
      </w:pPr>
      <w:r>
        <w:rPr>
          <w:rFonts w:ascii="Arial" w:cs="Arial" w:eastAsia="Arial" w:hAnsi="Arial"/>
          <w:sz w:val="24"/>
          <w:szCs w:val="24"/>
        </w:rPr>
        <w:t xml:space="preserve">Start-up costs (capital expenditures): $13,649</w:t>
      </w:r>
    </w:p>
    <w:p>
      <w:pPr>
        <w:pStyle w:val="ListParagraph"/>
        <w:numPr>
          <w:ilvl w:val="0"/>
          <w:numId w:val="2"/>
        </w:numPr>
        <w:spacing w:after="100"/>
      </w:pPr>
      <w:r>
        <w:rPr>
          <w:rFonts w:ascii="Arial" w:cs="Arial" w:eastAsia="Arial" w:hAnsi="Arial"/>
          <w:sz w:val="24"/>
          <w:szCs w:val="24"/>
        </w:rPr>
        <w:t xml:space="preserve">Working capital (18-month runway): $55,000</w:t>
      </w:r>
    </w:p>
    <w:p>
      <w:pPr>
        <w:pStyle w:val="ListParagraph"/>
        <w:numPr>
          <w:ilvl w:val="0"/>
          <w:numId w:val="2"/>
        </w:numPr>
        <w:spacing w:after="100"/>
      </w:pPr>
      <w:r>
        <w:rPr>
          <w:rFonts w:ascii="Arial" w:cs="Arial" w:eastAsia="Arial" w:hAnsi="Arial"/>
          <w:sz w:val="24"/>
          <w:szCs w:val="24"/>
        </w:rPr>
        <w:t xml:space="preserve">Cash reserve: $1,351</w:t>
      </w:r>
    </w:p>
    <w:p>
      <w:pPr>
        <w:spacing w:after="200"/>
      </w:pPr>
      <w:r>
        <w:rPr>
          <w:rFonts w:ascii="Arial" w:cs="Arial" w:eastAsia="Arial" w:hAnsi="Arial"/>
          <w:sz w:val="24"/>
          <w:szCs w:val="24"/>
        </w:rPr>
        <w:t xml:space="preserve">The investment is structured as equity with returns distributed via a profit distribution policy: once profitable, 80% of net income is reinvested in growth while 20% is distributed to equity holders proportional to their ownership stake.</w:t>
      </w:r>
    </w:p>
    <w:p>
      <w:pPr>
        <w:spacing w:after="200"/>
      </w:pPr>
      <w:r>
        <w:rPr>
          <w:rFonts w:ascii="Arial" w:cs="Arial" w:eastAsia="Arial" w:hAnsi="Arial"/>
          <w:sz w:val="24"/>
          <w:szCs w:val="24"/>
        </w:rPr>
        <w:t xml:space="preserve">At $20,000 of $70,000 total investment, investors would hold approximately 28.6% equity stake. Based on Year 3 projections of $202,571 net income, this would yield approximately $40,514 in annual profit distributions (20% of net income), of which investors would receive approximately $11,575 (28.6% of distributions). This represents an implied annual return of approximately 58% on the original $20,000 investment by Year 3.</w:t>
      </w:r>
    </w:p>
    <w:p>
      <w:r>
        <w:br w:type="page"/>
      </w:r>
    </w:p>
    <w:p>
      <w:pPr>
        <w:pStyle w:val="Heading1"/>
        <w:spacing w:before="400" w:after="200"/>
      </w:pPr>
      <w:r>
        <w:rPr>
          <w:rFonts w:ascii="Arial" w:cs="Arial" w:eastAsia="Arial" w:hAnsi="Arial"/>
          <w:b/>
          <w:bCs/>
        </w:rPr>
        <w:t xml:space="preserve">COMPANY DESCRIPTION</w:t>
      </w:r>
    </w:p>
    <w:p>
      <w:pPr>
        <w:pStyle w:val="Heading2"/>
        <w:spacing w:before="400" w:after="200"/>
      </w:pPr>
      <w:r>
        <w:rPr>
          <w:rFonts w:ascii="Arial" w:cs="Arial" w:eastAsia="Arial" w:hAnsi="Arial"/>
          <w:b/>
          <w:bCs/>
        </w:rPr>
        <w:t xml:space="preserve">Company Overview</w:t>
      </w:r>
    </w:p>
    <w:p>
      <w:pPr>
        <w:spacing w:after="200"/>
      </w:pPr>
      <w:r>
        <w:rPr>
          <w:rFonts w:ascii="Arial" w:cs="Arial" w:eastAsia="Arial" w:hAnsi="Arial"/>
          <w:sz w:val="24"/>
          <w:szCs w:val="24"/>
        </w:rPr>
        <w:t xml:space="preserve">Blaze Sports Intel (BSI) is a sports analytics company headquartered in Boerne, Texas, founded in 2025 by Austin Humphrey. The company operates as a Limited Liability Company (LLC) structured in Texas, providing real-time scores, complete box scores, and advanced analytics for college baseball—covering all 300+ Division I programs—along with comprehensive coverage of college football, Major League Baseball (MLB), and the National Football League (NFL).</w:t>
      </w:r>
    </w:p>
    <w:p>
      <w:pPr>
        <w:spacing w:after="200"/>
      </w:pPr>
      <w:r>
        <w:rPr>
          <w:rFonts w:ascii="Arial" w:cs="Arial" w:eastAsia="Arial" w:hAnsi="Arial"/>
          <w:sz w:val="24"/>
          <w:szCs w:val="24"/>
        </w:rPr>
        <w:t xml:space="preserve">The platform operates at blazesportsintel.com, built entirely on Cloudflare's edge network for sub-50ms global response times (Cloudflare, Inc., 2025). BSI's mobile-first design ensures fans can access complete game data from anywhere, on any device. Target launch for subscription services is Spring 2026, coinciding with the college baseball season.</w:t>
      </w:r>
    </w:p>
    <w:p>
      <w:pPr>
        <w:pStyle w:val="Heading2"/>
        <w:spacing w:before="400" w:after="200"/>
      </w:pPr>
      <w:r>
        <w:rPr>
          <w:rFonts w:ascii="Arial" w:cs="Arial" w:eastAsia="Arial" w:hAnsi="Arial"/>
          <w:b/>
          <w:bCs/>
        </w:rPr>
        <w:t xml:space="preserve">Legal Structure</w:t>
      </w:r>
    </w:p>
    <w:p>
      <w:pPr>
        <w:spacing w:after="200"/>
      </w:pPr>
      <w:r>
        <w:rPr>
          <w:rFonts w:ascii="Arial" w:cs="Arial" w:eastAsia="Arial" w:hAnsi="Arial"/>
          <w:sz w:val="24"/>
          <w:szCs w:val="24"/>
        </w:rPr>
        <w:t xml:space="preserve">BSI is organized as a Texas Limited Liability Company (LLC), providing liability protection for the founder while maintaining tax flexibility. As an LLC, profits and losses pass through to the owner's personal tax return, avoiding the double taxation associated with C-Corporations. This structure aligns with the company's current stage as a founder-led startup while allowing for future conversion to a corporation if venture capital investment requires it.</w:t>
      </w:r>
    </w:p>
    <w:p>
      <w:pPr>
        <w:pStyle w:val="Heading2"/>
        <w:spacing w:before="400" w:after="200"/>
      </w:pPr>
      <w:r>
        <w:rPr>
          <w:rFonts w:ascii="Arial" w:cs="Arial" w:eastAsia="Arial" w:hAnsi="Arial"/>
          <w:b/>
          <w:bCs/>
        </w:rPr>
        <w:t xml:space="preserve">Products and Services</w:t>
      </w:r>
    </w:p>
    <w:p>
      <w:pPr>
        <w:spacing w:after="200"/>
      </w:pPr>
      <w:r>
        <w:rPr>
          <w:rFonts w:ascii="Arial" w:cs="Arial" w:eastAsia="Arial" w:hAnsi="Arial"/>
          <w:sz w:val="24"/>
          <w:szCs w:val="24"/>
        </w:rPr>
        <w:t xml:space="preserve">BSI offers sports analytics through a tiered subscription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Tier</w:t>
            </w:r>
          </w:p>
        </w:tc>
        <w:tc>
          <w:tcPr>
            <w:tcW w:type="dxa" w:w="312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Price</w:t>
            </w:r>
          </w:p>
        </w:tc>
        <w:tc>
          <w:tcPr>
            <w:tcW w:type="dxa" w:w="312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Features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Free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$0/month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Live scores, basic standings, limited box scores, ad-supported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$29/month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Complete box scores, advanced analytics, all four sports, no ads, email alerts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Enterprise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$199/month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API access, bulk data exports, custom dashboards, priority support, white-label options</w:t>
            </w:r>
          </w:p>
        </w:tc>
      </w:tr>
    </w:tbl>
    <w:p>
      <w:pPr>
        <w:pStyle w:val="Heading2"/>
        <w:spacing w:before="400" w:after="200"/>
      </w:pPr>
      <w:r>
        <w:rPr>
          <w:rFonts w:ascii="Arial" w:cs="Arial" w:eastAsia="Arial" w:hAnsi="Arial"/>
          <w:b/>
          <w:bCs/>
        </w:rPr>
        <w:t xml:space="preserve">Stage of Development</w:t>
      </w:r>
    </w:p>
    <w:p>
      <w:pPr>
        <w:spacing w:after="200"/>
      </w:pPr>
      <w:r>
        <w:rPr>
          <w:rFonts w:ascii="Arial" w:cs="Arial" w:eastAsia="Arial" w:hAnsi="Arial"/>
          <w:sz w:val="24"/>
          <w:szCs w:val="24"/>
        </w:rPr>
        <w:t xml:space="preserve">BSI has made significant progress on platform development, with core Cloudflare Workers infrastructure operational, database architecture configured, and API integrations in active testing. The platform architecture supports live scoring capabilities. The company is now preparing for commercial launch in Spring 2026, focusing on completing development, subscriber acquisition strategy, and content production for the college baseball season.</w:t>
      </w:r>
    </w:p>
    <w:p>
      <w:r>
        <w:br w:type="page"/>
      </w:r>
    </w:p>
    <w:p>
      <w:pPr>
        <w:pStyle w:val="Heading1"/>
        <w:spacing w:before="400" w:after="200"/>
      </w:pPr>
      <w:r>
        <w:rPr>
          <w:rFonts w:ascii="Arial" w:cs="Arial" w:eastAsia="Arial" w:hAnsi="Arial"/>
          <w:b/>
          <w:bCs/>
        </w:rPr>
        <w:t xml:space="preserve">INDUSTRY ANALYSIS AND TRENDS</w:t>
      </w:r>
    </w:p>
    <w:p>
      <w:pPr>
        <w:pStyle w:val="Heading2"/>
        <w:spacing w:before="400" w:after="200"/>
      </w:pPr>
      <w:r>
        <w:rPr>
          <w:rFonts w:ascii="Arial" w:cs="Arial" w:eastAsia="Arial" w:hAnsi="Arial"/>
          <w:b/>
          <w:bCs/>
        </w:rPr>
        <w:t xml:space="preserve">Market Size and Growth</w:t>
      </w:r>
    </w:p>
    <w:p>
      <w:pPr>
        <w:spacing w:after="200"/>
      </w:pPr>
      <w:r>
        <w:rPr>
          <w:rFonts w:ascii="Arial" w:cs="Arial" w:eastAsia="Arial" w:hAnsi="Arial"/>
          <w:sz w:val="24"/>
          <w:szCs w:val="24"/>
        </w:rPr>
        <w:t xml:space="preserve">The North American sports analytics market was valued at $3.4 billion in 2024 within a broader $24 billion global sports technology and analytics market. The market is projected to reach $22 billion in North America alone by 2030, representing a compound annual growth rate (CAGR) of 28.5%. North America dominates the market with approximately 35% share, driven by the concentration of major professional leagues and collegiate athletic programs (Grand View Research, 2024).</w:t>
      </w:r>
    </w:p>
    <w:p>
      <w:pPr>
        <w:spacing w:after="200"/>
      </w:pPr>
      <w:r>
        <w:rPr>
          <w:rFonts w:ascii="Arial" w:cs="Arial" w:eastAsia="Arial" w:hAnsi="Arial"/>
          <w:sz w:val="24"/>
          <w:szCs w:val="24"/>
        </w:rPr>
        <w:t xml:space="preserve">Within this market, the digital sports media segment—encompassing subscription platforms, streaming services, and analytics providers—has emerged as the fastest-growing subsector. The shift from traditional broadcast to digital consumption accelerated during 2020-2023, with mobile devices now accounting for over 60% of sports content consumption among fans aged 18-34 (Deloitte, 2024).</w:t>
      </w:r>
    </w:p>
    <w:p>
      <w:pPr>
        <w:pStyle w:val="Heading2"/>
        <w:spacing w:before="400" w:after="200"/>
      </w:pPr>
      <w:r>
        <w:rPr>
          <w:rFonts w:ascii="Arial" w:cs="Arial" w:eastAsia="Arial" w:hAnsi="Arial"/>
          <w:b/>
          <w:bCs/>
        </w:rPr>
        <w:t xml:space="preserve">College Sports Market Opportunity</w:t>
      </w:r>
    </w:p>
    <w:p>
      <w:pPr>
        <w:spacing w:after="200"/>
      </w:pPr>
      <w:r>
        <w:rPr>
          <w:rFonts w:ascii="Arial" w:cs="Arial" w:eastAsia="Arial" w:hAnsi="Arial"/>
          <w:sz w:val="24"/>
          <w:szCs w:val="24"/>
        </w:rPr>
        <w:t xml:space="preserve">College baseball represents a particularly underserved market segment. As one of only three revenue-generating NCAA sports (alongside football and basketball), college baseball maintains dedicated fan bases across 300+ Division I programs. However, mainstream sports media allocates minimal coverage to the sport outside of the College World Series. This creates a market gap for specialized providers offering comprehensive coverage, advanced analytics, and real-time data that mainstream outlets do not prioritize.</w:t>
      </w:r>
    </w:p>
    <w:p>
      <w:pPr>
        <w:pStyle w:val="Heading2"/>
        <w:spacing w:before="400" w:after="200"/>
      </w:pPr>
      <w:r>
        <w:rPr>
          <w:rFonts w:ascii="Arial" w:cs="Arial" w:eastAsia="Arial" w:hAnsi="Arial"/>
          <w:b/>
          <w:bCs/>
        </w:rPr>
        <w:t xml:space="preserve">Technology Trends</w:t>
      </w:r>
    </w:p>
    <w:p>
      <w:pPr>
        <w:spacing w:after="200"/>
      </w:pPr>
      <w:r>
        <w:rPr>
          <w:rFonts w:ascii="Arial" w:cs="Arial" w:eastAsia="Arial" w:hAnsi="Arial"/>
          <w:sz w:val="24"/>
          <w:szCs w:val="24"/>
        </w:rPr>
        <w:t xml:space="preserve">Several technology trends favor BSI's market entry:</w:t>
      </w:r>
    </w:p>
    <w:p>
      <w:pPr>
        <w:pStyle w:val="ListParagraph"/>
        <w:numPr>
          <w:ilvl w:val="0"/>
          <w:numId w:val="2"/>
        </w:numPr>
        <w:spacing w:after="100"/>
      </w:pPr>
      <w:r>
        <w:rPr>
          <w:rFonts w:ascii="Arial" w:cs="Arial" w:eastAsia="Arial" w:hAnsi="Arial"/>
          <w:sz w:val="24"/>
          <w:szCs w:val="24"/>
        </w:rPr>
        <w:t xml:space="preserve">Serverless computing has reduced infrastructure costs by 80-90% compared to traditional hosting, enabling startups to compete with established players on technical performance (Cloudflare, Inc., 2025)</w:t>
      </w:r>
    </w:p>
    <w:p>
      <w:pPr>
        <w:pStyle w:val="ListParagraph"/>
        <w:numPr>
          <w:ilvl w:val="0"/>
          <w:numId w:val="2"/>
        </w:numPr>
        <w:spacing w:after="100"/>
      </w:pPr>
      <w:r>
        <w:rPr>
          <w:rFonts w:ascii="Arial" w:cs="Arial" w:eastAsia="Arial" w:hAnsi="Arial"/>
          <w:sz w:val="24"/>
          <w:szCs w:val="24"/>
        </w:rPr>
        <w:t xml:space="preserve">Edge computing delivers sub-50ms response times globally, meeting consumer expectations for real-time sports data</w:t>
      </w:r>
    </w:p>
    <w:p>
      <w:pPr>
        <w:pStyle w:val="ListParagraph"/>
        <w:numPr>
          <w:ilvl w:val="0"/>
          <w:numId w:val="2"/>
        </w:numPr>
        <w:spacing w:after="100"/>
      </w:pPr>
      <w:r>
        <w:rPr>
          <w:rFonts w:ascii="Arial" w:cs="Arial" w:eastAsia="Arial" w:hAnsi="Arial"/>
          <w:sz w:val="24"/>
          <w:szCs w:val="24"/>
        </w:rPr>
        <w:t xml:space="preserve">Mobile-first Progressive Web App (PWA) architecture provides native-app experiences without requiring app store distribution or separate iOS/Android development</w:t>
      </w:r>
    </w:p>
    <w:p>
      <w:pPr>
        <w:pStyle w:val="Heading2"/>
        <w:spacing w:before="400" w:after="200"/>
      </w:pPr>
      <w:r>
        <w:rPr>
          <w:rFonts w:ascii="Arial" w:cs="Arial" w:eastAsia="Arial" w:hAnsi="Arial"/>
          <w:b/>
          <w:bCs/>
        </w:rPr>
        <w:t xml:space="preserve">Regulatory Environment</w:t>
      </w:r>
    </w:p>
    <w:p>
      <w:pPr>
        <w:spacing w:after="200"/>
      </w:pPr>
      <w:r>
        <w:rPr>
          <w:rFonts w:ascii="Arial" w:cs="Arial" w:eastAsia="Arial" w:hAnsi="Arial"/>
          <w:sz w:val="24"/>
          <w:szCs w:val="24"/>
        </w:rPr>
        <w:t xml:space="preserve">The sports data industry operates under a favorable regulatory environment. The 2018 Supreme Court decision in Murphy v. NCAA opened legal sports betting nationwide, creating a parallel market for sports data providers. While BSI does not provide gambling services, the expanded legal betting market has increased demand for accurate, real-time sports statistics and analytics across all consumer segments.</w:t>
      </w:r>
    </w:p>
    <w:p>
      <w:r>
        <w:br w:type="page"/>
      </w:r>
    </w:p>
    <w:p>
      <w:pPr>
        <w:pStyle w:val="Heading1"/>
        <w:spacing w:before="400" w:after="200"/>
      </w:pPr>
      <w:r>
        <w:rPr>
          <w:rFonts w:ascii="Arial" w:cs="Arial" w:eastAsia="Arial" w:hAnsi="Arial"/>
          <w:b/>
          <w:bCs/>
        </w:rPr>
        <w:t xml:space="preserve">TARGET MARKET</w:t>
      </w:r>
    </w:p>
    <w:p>
      <w:pPr>
        <w:pStyle w:val="Heading2"/>
        <w:spacing w:before="400" w:after="200"/>
      </w:pPr>
      <w:r>
        <w:rPr>
          <w:rFonts w:ascii="Arial" w:cs="Arial" w:eastAsia="Arial" w:hAnsi="Arial"/>
          <w:b/>
          <w:bCs/>
        </w:rPr>
        <w:t xml:space="preserve">Primary Target Market: College Baseball Enthusiasts</w:t>
      </w:r>
    </w:p>
    <w:p>
      <w:pPr>
        <w:spacing w:after="200"/>
      </w:pPr>
      <w:r>
        <w:rPr>
          <w:rFonts w:ascii="Arial" w:cs="Arial" w:eastAsia="Arial" w:hAnsi="Arial"/>
          <w:sz w:val="24"/>
          <w:szCs w:val="24"/>
        </w:rPr>
        <w:t xml:space="preserve">BSI's primary target market consists of dedicated college baseball fans who actively follow Division I programs. This segment includes current students, alumni, and regional fans of programs in conferences such as the SEC, ACC, Big 12, and Pac-12. Based on attendance data and survey research, these consumers skew predominantly male, aged 25-54, with above-average household incomes and strong brand loyalty to their programs (NCAA, 2024; Scarborough Sports Research, 2024). They consume sports content primarily via mobile devices during games and seek comprehensive coverage that mainstream sports media does not provide.</w:t>
      </w:r>
    </w:p>
    <w:p>
      <w:pPr>
        <w:pStyle w:val="Heading2"/>
        <w:spacing w:before="400" w:after="200"/>
      </w:pPr>
      <w:r>
        <w:rPr>
          <w:rFonts w:ascii="Arial" w:cs="Arial" w:eastAsia="Arial" w:hAnsi="Arial"/>
          <w:b/>
          <w:bCs/>
        </w:rPr>
        <w:t xml:space="preserve">Secondary Target Market: Multi-Sport Fans</w:t>
      </w:r>
    </w:p>
    <w:p>
      <w:pPr>
        <w:spacing w:after="200"/>
      </w:pPr>
      <w:r>
        <w:rPr>
          <w:rFonts w:ascii="Arial" w:cs="Arial" w:eastAsia="Arial" w:hAnsi="Arial"/>
          <w:sz w:val="24"/>
          <w:szCs w:val="24"/>
        </w:rPr>
        <w:t xml:space="preserve">BSI's multi-sport coverage (college baseball, college football, MLB, NFL) appeals to fans seeking a single platform for comprehensive sports analytics. This segment overlaps with the primary market but includes consumers whose primary interest may be football or professional baseball. The cross-sport offering increases subscriber value and reduces seasonal churn that affects single-sport platforms.</w:t>
      </w:r>
    </w:p>
    <w:p>
      <w:pPr>
        <w:pStyle w:val="Heading2"/>
        <w:spacing w:before="400" w:after="200"/>
      </w:pPr>
      <w:r>
        <w:rPr>
          <w:rFonts w:ascii="Arial" w:cs="Arial" w:eastAsia="Arial" w:hAnsi="Arial"/>
          <w:b/>
          <w:bCs/>
        </w:rPr>
        <w:t xml:space="preserve">Enterprise Target Market</w:t>
      </w:r>
    </w:p>
    <w:p>
      <w:pPr>
        <w:spacing w:after="200"/>
      </w:pPr>
      <w:r>
        <w:rPr>
          <w:rFonts w:ascii="Arial" w:cs="Arial" w:eastAsia="Arial" w:hAnsi="Arial"/>
          <w:sz w:val="24"/>
          <w:szCs w:val="24"/>
        </w:rPr>
        <w:t xml:space="preserve">The Enterprise tier targets three B2B segments:</w:t>
      </w:r>
    </w:p>
    <w:p>
      <w:pPr>
        <w:pStyle w:val="ListParagraph"/>
        <w:numPr>
          <w:ilvl w:val="0"/>
          <w:numId w:val="2"/>
        </w:numPr>
        <w:spacing w:after="100"/>
      </w:pPr>
      <w:r>
        <w:rPr>
          <w:rFonts w:ascii="Arial" w:cs="Arial" w:eastAsia="Arial" w:hAnsi="Arial"/>
          <w:sz w:val="24"/>
          <w:szCs w:val="24"/>
        </w:rPr>
        <w:t xml:space="preserve">College athletic programs seeking analytics for recruiting, player development, and competitive analysis</w:t>
      </w:r>
    </w:p>
    <w:p>
      <w:pPr>
        <w:pStyle w:val="ListParagraph"/>
        <w:numPr>
          <w:ilvl w:val="0"/>
          <w:numId w:val="2"/>
        </w:numPr>
        <w:spacing w:after="100"/>
      </w:pPr>
      <w:r>
        <w:rPr>
          <w:rFonts w:ascii="Arial" w:cs="Arial" w:eastAsia="Arial" w:hAnsi="Arial"/>
          <w:sz w:val="24"/>
          <w:szCs w:val="24"/>
        </w:rPr>
        <w:t xml:space="preserve">Professional scouts and player agents evaluating college talent for the MLB Draft</w:t>
      </w:r>
    </w:p>
    <w:p>
      <w:pPr>
        <w:pStyle w:val="ListParagraph"/>
        <w:numPr>
          <w:ilvl w:val="0"/>
          <w:numId w:val="2"/>
        </w:numPr>
        <w:spacing w:after="100"/>
      </w:pPr>
      <w:r>
        <w:rPr>
          <w:rFonts w:ascii="Arial" w:cs="Arial" w:eastAsia="Arial" w:hAnsi="Arial"/>
          <w:sz w:val="24"/>
          <w:szCs w:val="24"/>
        </w:rPr>
        <w:t xml:space="preserve">Regional media organizations requiring sports data feeds for their coverage</w:t>
      </w:r>
    </w:p>
    <w:p>
      <w:pPr>
        <w:spacing w:after="200"/>
      </w:pPr>
      <w:r>
        <w:rPr>
          <w:rFonts w:ascii="Arial" w:cs="Arial" w:eastAsia="Arial" w:hAnsi="Arial"/>
          <w:sz w:val="24"/>
          <w:szCs w:val="24"/>
        </w:rPr>
        <w:t xml:space="preserve">The Enterprise offering's API access and white-label options address specific needs of each segment.</w:t>
      </w:r>
    </w:p>
    <w:p>
      <w:pPr>
        <w:pStyle w:val="Heading2"/>
        <w:spacing w:before="400" w:after="200"/>
      </w:pPr>
      <w:r>
        <w:rPr>
          <w:rFonts w:ascii="Arial" w:cs="Arial" w:eastAsia="Arial" w:hAnsi="Arial"/>
          <w:b/>
          <w:bCs/>
        </w:rPr>
        <w:t xml:space="preserve">Market Sizing</w:t>
      </w:r>
    </w:p>
    <w:p>
      <w:pPr>
        <w:spacing w:after="200"/>
      </w:pPr>
      <w:r>
        <w:rPr>
          <w:rFonts w:ascii="Arial" w:cs="Arial" w:eastAsia="Arial" w:hAnsi="Arial"/>
          <w:sz w:val="24"/>
          <w:szCs w:val="24"/>
        </w:rPr>
        <w:t xml:space="preserve">Total Addressable Market (TAM): Estimated at 15 million U.S. college baseball fans.</w:t>
      </w:r>
    </w:p>
    <w:p>
      <w:pPr>
        <w:ind w:left="720"/>
      </w:pPr>
      <w:r>
        <w:rPr>
          <w:rFonts w:ascii="Arial" w:cs="Arial" w:eastAsia="Arial" w:hAnsi="Arial"/>
          <w:i/>
          <w:iCs/>
          <w:sz w:val="22"/>
          <w:szCs w:val="22"/>
        </w:rPr>
        <w:t xml:space="preserve">Source and Methodology: Derived from NCAA attendance data (~11.5 million annual attendance across D1 programs) (NCAA, 2024), College World Series TV viewership (2-3 million average viewers), and social media following of major programs. Cross-referenced with Scarborough Sports Research (2024) participation and viewership data.</w:t>
      </w:r>
    </w:p>
    <w:p>
      <w:pPr>
        <w:spacing w:after="200"/>
      </w:pPr>
      <w:r>
        <w:rPr>
          <w:rFonts w:ascii="Arial" w:cs="Arial" w:eastAsia="Arial" w:hAnsi="Arial"/>
          <w:sz w:val="24"/>
          <w:szCs w:val="24"/>
        </w:rPr>
        <w:t xml:space="preserve">Serviceable Addressable Market (SAM): Approximately 3 million fans who actively seek comprehensive coverage beyond mainstream media and demonstrate willingness to pay for premium sports content.</w:t>
      </w:r>
    </w:p>
    <w:p>
      <w:pPr>
        <w:ind w:left="720"/>
      </w:pPr>
      <w:r>
        <w:rPr>
          <w:rFonts w:ascii="Arial" w:cs="Arial" w:eastAsia="Arial" w:hAnsi="Arial"/>
          <w:i/>
          <w:iCs/>
          <w:sz w:val="22"/>
          <w:szCs w:val="22"/>
        </w:rPr>
        <w:t xml:space="preserve">Source and Methodology: Industry benchmarks suggest 15-25% of dedicated sports fans pay for premium content (Deloitte, 2024). Applied 20% conversion factor to TAM, validated against comparable niche sports subscription services.</w:t>
      </w:r>
    </w:p>
    <w:p>
      <w:pPr>
        <w:spacing w:after="200"/>
      </w:pPr>
      <w:r>
        <w:rPr>
          <w:rFonts w:ascii="Arial" w:cs="Arial" w:eastAsia="Arial" w:hAnsi="Arial"/>
          <w:sz w:val="24"/>
          <w:szCs w:val="24"/>
        </w:rPr>
        <w:t xml:space="preserve">Serviceable Obtainable Market (SOM): Year 3 target of approximately 9,000 paid subscribers (0.3% of SAM).</w:t>
      </w:r>
    </w:p>
    <w:p>
      <w:pPr>
        <w:ind w:left="720"/>
      </w:pPr>
      <w:r>
        <w:rPr>
          <w:rFonts w:ascii="Arial" w:cs="Arial" w:eastAsia="Arial" w:hAnsi="Arial"/>
          <w:i/>
          <w:iCs/>
          <w:sz w:val="22"/>
          <w:szCs w:val="22"/>
        </w:rPr>
        <w:t xml:space="preserve">Source and Methodology: Conservative penetration assumption based on startup growth curves for niche subscription products (IBISWorld, 2024). Validated against comparable platforms and adjusted for BSI's multi-sport offering.</w:t>
      </w:r>
    </w:p>
    <w:p>
      <w:r>
        <w:br w:type="page"/>
      </w:r>
    </w:p>
    <w:p>
      <w:pPr>
        <w:pStyle w:val="Heading1"/>
        <w:spacing w:before="400" w:after="200"/>
      </w:pPr>
      <w:r>
        <w:rPr>
          <w:rFonts w:ascii="Arial" w:cs="Arial" w:eastAsia="Arial" w:hAnsi="Arial"/>
          <w:b/>
          <w:bCs/>
        </w:rPr>
        <w:t xml:space="preserve">COMPETITION</w:t>
      </w:r>
    </w:p>
    <w:p>
      <w:pPr>
        <w:pStyle w:val="Heading2"/>
        <w:spacing w:before="400" w:after="200"/>
      </w:pPr>
      <w:r>
        <w:rPr>
          <w:rFonts w:ascii="Arial" w:cs="Arial" w:eastAsia="Arial" w:hAnsi="Arial"/>
          <w:b/>
          <w:bCs/>
        </w:rPr>
        <w:t xml:space="preserve">Competitive Landscape</w:t>
      </w:r>
    </w:p>
    <w:p>
      <w:pPr>
        <w:spacing w:after="200"/>
      </w:pPr>
      <w:r>
        <w:rPr>
          <w:rFonts w:ascii="Arial" w:cs="Arial" w:eastAsia="Arial" w:hAnsi="Arial"/>
          <w:sz w:val="24"/>
          <w:szCs w:val="24"/>
        </w:rPr>
        <w:t xml:space="preserve">BSI operates in a market with several established competitors, each with distinct strengths and positioning. The competitive analysis below identifies key players and BSI's differentiation strategy.</w:t>
      </w:r>
    </w:p>
    <w:p>
      <w:pPr>
        <w:pStyle w:val="Heading2"/>
        <w:spacing w:before="400" w:after="200"/>
      </w:pPr>
      <w:r>
        <w:rPr>
          <w:rFonts w:ascii="Arial" w:cs="Arial" w:eastAsia="Arial" w:hAnsi="Arial"/>
          <w:b/>
          <w:bCs/>
        </w:rPr>
        <w:t xml:space="preserve">Mainstream Sports Media</w:t>
      </w:r>
    </w:p>
    <w:p>
      <w:pPr>
        <w:spacing w:after="200"/>
      </w:pPr>
      <w:r>
        <w:rPr>
          <w:rFonts w:ascii="Arial" w:cs="Arial" w:eastAsia="Arial" w:hAnsi="Arial"/>
          <w:sz w:val="24"/>
          <w:szCs w:val="24"/>
        </w:rPr>
        <w:t xml:space="preserve">Major sports networks and digital platforms dominate general sports coverage but allocate limited resources to college baseball outside of the College World Series. Their college baseball coverage typically lacks comprehensive box scores for non-marquee games, advanced analytics, and real-time updates during midweek games. BSI's differentiation: Complete coverage of all 300+ D1 programs with depth and consistency that general platforms do not prioritize.</w:t>
      </w:r>
    </w:p>
    <w:p>
      <w:pPr>
        <w:pStyle w:val="Heading2"/>
        <w:spacing w:before="400" w:after="200"/>
      </w:pPr>
      <w:r>
        <w:rPr>
          <w:rFonts w:ascii="Arial" w:cs="Arial" w:eastAsia="Arial" w:hAnsi="Arial"/>
          <w:b/>
          <w:bCs/>
        </w:rPr>
        <w:t xml:space="preserve">D1Baseball / Perfect Game</w:t>
      </w:r>
    </w:p>
    <w:p>
      <w:pPr>
        <w:spacing w:after="200"/>
      </w:pPr>
      <w:r>
        <w:rPr>
          <w:rFonts w:ascii="Arial" w:cs="Arial" w:eastAsia="Arial" w:hAnsi="Arial"/>
          <w:sz w:val="24"/>
          <w:szCs w:val="24"/>
        </w:rPr>
        <w:t xml:space="preserve">These dedicated college baseball platforms provide strong coverage but focus primarily on recruiting and prospect rankings rather than game-by-game analytics. Their subscription models are priced for recruiting-focused consumers ($9.95-$14.95/month) rather than general fans. BSI's differentiation: Real-time game analytics, mobile-first design, and multi-sport coverage that extends beyond the college baseball season.</w:t>
      </w:r>
    </w:p>
    <w:p>
      <w:pPr>
        <w:pStyle w:val="Heading2"/>
        <w:spacing w:before="400" w:after="200"/>
      </w:pPr>
      <w:r>
        <w:rPr>
          <w:rFonts w:ascii="Arial" w:cs="Arial" w:eastAsia="Arial" w:hAnsi="Arial"/>
          <w:b/>
          <w:bCs/>
        </w:rPr>
        <w:t xml:space="preserve">The Athletic</w:t>
      </w:r>
    </w:p>
    <w:p>
      <w:pPr>
        <w:spacing w:after="200"/>
      </w:pPr>
      <w:r>
        <w:rPr>
          <w:rFonts w:ascii="Arial" w:cs="Arial" w:eastAsia="Arial" w:hAnsi="Arial"/>
          <w:sz w:val="24"/>
          <w:szCs w:val="24"/>
        </w:rPr>
        <w:t xml:space="preserve">The Athletic provides quality sports journalism across multiple sports at $9.99/month but emphasizes editorial content over data and analytics. Their college baseball coverage is limited to major programs and key events. BSI's differentiation: Data-first approach with comprehensive analytics, complete box scores, and real-time scoring that editorial models do not provide.</w:t>
      </w:r>
    </w:p>
    <w:p>
      <w:pPr>
        <w:pStyle w:val="Heading2"/>
        <w:spacing w:before="400" w:after="200"/>
      </w:pPr>
      <w:r>
        <w:rPr>
          <w:rFonts w:ascii="Arial" w:cs="Arial" w:eastAsia="Arial" w:hAnsi="Arial"/>
          <w:b/>
          <w:bCs/>
        </w:rPr>
        <w:t xml:space="preserve">Competitive Advantages</w:t>
      </w:r>
    </w:p>
    <w:p>
      <w:pPr>
        <w:spacing w:after="200"/>
      </w:pPr>
      <w:r>
        <w:rPr>
          <w:rFonts w:ascii="Arial" w:cs="Arial" w:eastAsia="Arial" w:hAnsi="Arial"/>
          <w:sz w:val="24"/>
          <w:szCs w:val="24"/>
        </w:rPr>
        <w:t xml:space="preserve">BSI maintains four sustainable competitive advantages:</w:t>
      </w:r>
    </w:p>
    <w:p>
      <w:pPr>
        <w:pStyle w:val="ListParagraph"/>
        <w:numPr>
          <w:ilvl w:val="0"/>
          <w:numId w:val="2"/>
        </w:numPr>
        <w:spacing w:after="100"/>
      </w:pPr>
      <w:r>
        <w:rPr>
          <w:rFonts w:ascii="Arial" w:cs="Arial" w:eastAsia="Arial" w:hAnsi="Arial"/>
          <w:sz w:val="24"/>
          <w:szCs w:val="24"/>
        </w:rPr>
        <w:t xml:space="preserve">Technology Architecture: Sub-50ms response times via Cloudflare's global edge network (300+ locations), providing strong performance for real-time sports data (Cloudflare, Inc., 2025)</w:t>
      </w:r>
    </w:p>
    <w:p>
      <w:pPr>
        <w:pStyle w:val="ListParagraph"/>
        <w:numPr>
          <w:ilvl w:val="0"/>
          <w:numId w:val="2"/>
        </w:numPr>
        <w:spacing w:after="100"/>
      </w:pPr>
      <w:r>
        <w:rPr>
          <w:rFonts w:ascii="Arial" w:cs="Arial" w:eastAsia="Arial" w:hAnsi="Arial"/>
          <w:sz w:val="24"/>
          <w:szCs w:val="24"/>
        </w:rPr>
        <w:t xml:space="preserve">Cost Structure: Serverless infrastructure at under $600/year enables sustainable pricing and higher margins than competitors with legacy infrastructure</w:t>
      </w:r>
    </w:p>
    <w:p>
      <w:pPr>
        <w:pStyle w:val="ListParagraph"/>
        <w:numPr>
          <w:ilvl w:val="0"/>
          <w:numId w:val="2"/>
        </w:numPr>
        <w:spacing w:after="100"/>
      </w:pPr>
      <w:r>
        <w:rPr>
          <w:rFonts w:ascii="Arial" w:cs="Arial" w:eastAsia="Arial" w:hAnsi="Arial"/>
          <w:sz w:val="24"/>
          <w:szCs w:val="24"/>
        </w:rPr>
        <w:t xml:space="preserve">Coverage Depth: Complete box scores and analytics for all 300+ D1 baseball programs, not limited to top 25 teams</w:t>
      </w:r>
    </w:p>
    <w:p>
      <w:pPr>
        <w:pStyle w:val="ListParagraph"/>
        <w:numPr>
          <w:ilvl w:val="0"/>
          <w:numId w:val="2"/>
        </w:numPr>
        <w:spacing w:after="100"/>
      </w:pPr>
      <w:r>
        <w:rPr>
          <w:rFonts w:ascii="Arial" w:cs="Arial" w:eastAsia="Arial" w:hAnsi="Arial"/>
          <w:sz w:val="24"/>
          <w:szCs w:val="24"/>
        </w:rPr>
        <w:t xml:space="preserve">Multi-Sport Platform: Year-round engagement across college baseball, college football, MLB, and NFL reduces seasonal churn that affects single-sport competitors</w:t>
      </w:r>
    </w:p>
    <w:p>
      <w:r>
        <w:br w:type="page"/>
      </w:r>
    </w:p>
    <w:p>
      <w:pPr>
        <w:pStyle w:val="Heading1"/>
        <w:spacing w:before="400" w:after="200"/>
      </w:pPr>
      <w:r>
        <w:rPr>
          <w:rFonts w:ascii="Arial" w:cs="Arial" w:eastAsia="Arial" w:hAnsi="Arial"/>
          <w:b/>
          <w:bCs/>
        </w:rPr>
        <w:t xml:space="preserve">MARKETING PLAN AND SALES STRATEGY</w:t>
      </w:r>
    </w:p>
    <w:p>
      <w:pPr>
        <w:pStyle w:val="Heading2"/>
        <w:spacing w:before="400" w:after="200"/>
      </w:pPr>
      <w:r>
        <w:rPr>
          <w:rFonts w:ascii="Arial" w:cs="Arial" w:eastAsia="Arial" w:hAnsi="Arial"/>
          <w:b/>
          <w:bCs/>
        </w:rPr>
        <w:t xml:space="preserve">Marketing Message</w:t>
      </w:r>
    </w:p>
    <w:p>
      <w:pPr>
        <w:spacing w:after="200"/>
      </w:pPr>
      <w:r>
        <w:rPr>
          <w:rFonts w:ascii="Arial" w:cs="Arial" w:eastAsia="Arial" w:hAnsi="Arial"/>
          <w:sz w:val="24"/>
          <w:szCs w:val="24"/>
        </w:rPr>
        <w:t xml:space="preserve">BSI's core marketing message emphasizes what customers gain (the "Five F's" framework): Features (comprehensive analytics competitors do not offer), Functions (real-time scores and complete box scores), Finances (value at $29/month compared to incomplete free alternatives), Freedom (access anywhere on any device), and Feelings (authentic connection to your team through data that matters). The message positions BSI as the platform for serious fans who deserve championship-quality coverage.</w:t>
      </w:r>
    </w:p>
    <w:p>
      <w:pPr>
        <w:pStyle w:val="Heading2"/>
        <w:spacing w:before="400" w:after="200"/>
      </w:pPr>
      <w:r>
        <w:rPr>
          <w:rFonts w:ascii="Arial" w:cs="Arial" w:eastAsia="Arial" w:hAnsi="Arial"/>
          <w:b/>
          <w:bCs/>
        </w:rPr>
        <w:t xml:space="preserve">Marketing Strategy</w:t>
      </w:r>
    </w:p>
    <w:p>
      <w:pPr>
        <w:spacing w:after="200"/>
      </w:pPr>
      <w:r>
        <w:rPr>
          <w:rFonts w:ascii="Arial" w:cs="Arial" w:eastAsia="Arial" w:hAnsi="Arial"/>
          <w:sz w:val="24"/>
          <w:szCs w:val="24"/>
        </w:rPr>
        <w:t xml:space="preserve">BSI employs a digital-first marketing strategy targeting fans where they already consume sports content. The approach focuses on high-value, low-cost tactics that leverage content marketing, social media engagement, and strategic partnerships. Marketing expenditure targets 15% of projected revenue, with budgets scaling proportionally with sales (Abrams, 2019).</w:t>
      </w:r>
    </w:p>
    <w:p>
      <w:pPr>
        <w:pStyle w:val="Heading2"/>
        <w:spacing w:before="400" w:after="200"/>
      </w:pPr>
      <w:r>
        <w:rPr>
          <w:rFonts w:ascii="Arial" w:cs="Arial" w:eastAsia="Arial" w:hAnsi="Arial"/>
          <w:b/>
          <w:bCs/>
        </w:rPr>
        <w:t xml:space="preserve">Marketing Tactics</w:t>
      </w:r>
    </w:p>
    <w:p>
      <w:pPr>
        <w:pStyle w:val="ListParagraph"/>
        <w:numPr>
          <w:ilvl w:val="0"/>
          <w:numId w:val="2"/>
        </w:numPr>
        <w:spacing w:after="100"/>
      </w:pPr>
      <w:r>
        <w:rPr>
          <w:rFonts w:ascii="Arial" w:cs="Arial" w:eastAsia="Arial" w:hAnsi="Arial"/>
          <w:sz w:val="24"/>
          <w:szCs w:val="24"/>
        </w:rPr>
        <w:t xml:space="preserve">Social Media Advertising: Targeted advertising on Twitter/X, Instagram, and Facebook focusing on college baseball communities, team-specific fan pages, and sports analytics audiences. Budget: $5,000 (Year 1), $15,000 (Year 2), $35,000 (Year 3).</w:t>
      </w:r>
    </w:p>
    <w:p>
      <w:pPr>
        <w:pStyle w:val="ListParagraph"/>
        <w:numPr>
          <w:ilvl w:val="0"/>
          <w:numId w:val="2"/>
        </w:numPr>
        <w:spacing w:after="100"/>
      </w:pPr>
      <w:r>
        <w:rPr>
          <w:rFonts w:ascii="Arial" w:cs="Arial" w:eastAsia="Arial" w:hAnsi="Arial"/>
          <w:sz w:val="24"/>
          <w:szCs w:val="24"/>
        </w:rPr>
        <w:t xml:space="preserve">Content Marketing/SEO: Game previews, recaps, and analytical articles optimized for search engines. This content serves dual purposes: attracting free-tier users for conversion and establishing BSI as an authoritative voice in college baseball analytics. Budget: $3,000 (Year 1), $8,000 (Year 2), $15,000 (Year 3).</w:t>
      </w:r>
    </w:p>
    <w:p>
      <w:pPr>
        <w:pStyle w:val="ListParagraph"/>
        <w:numPr>
          <w:ilvl w:val="0"/>
          <w:numId w:val="2"/>
        </w:numPr>
        <w:spacing w:after="100"/>
      </w:pPr>
      <w:r>
        <w:rPr>
          <w:rFonts w:ascii="Arial" w:cs="Arial" w:eastAsia="Arial" w:hAnsi="Arial"/>
          <w:sz w:val="24"/>
          <w:szCs w:val="24"/>
        </w:rPr>
        <w:t xml:space="preserve">Sports Media Partnerships: Collaborations with regional sports podcasts, college sports blogs, and local media outlets seeking data feeds. These partnerships provide marketing reach in exchange for data access or co-branded content. Budget: $2,000 (Year 1), $5,000 (Year 2), $12,500 (Year 3).</w:t>
      </w:r>
    </w:p>
    <w:p>
      <w:pPr>
        <w:pStyle w:val="ListParagraph"/>
        <w:numPr>
          <w:ilvl w:val="0"/>
          <w:numId w:val="2"/>
        </w:numPr>
        <w:spacing w:after="100"/>
      </w:pPr>
      <w:r>
        <w:rPr>
          <w:rFonts w:ascii="Arial" w:cs="Arial" w:eastAsia="Arial" w:hAnsi="Arial"/>
          <w:sz w:val="24"/>
          <w:szCs w:val="24"/>
        </w:rPr>
        <w:t xml:space="preserve">Email Marketing: Newsletter campaigns targeting free-tier users for Pro conversion, featuring exclusive analytics, game alerts, and subscriber-only content previews. Budget: $1,250 (Year 1), $2,000 (Year 2), $5,000 (Year 3).</w:t>
      </w:r>
    </w:p>
    <w:p>
      <w:pPr>
        <w:pStyle w:val="Heading2"/>
        <w:spacing w:before="400" w:after="200"/>
      </w:pPr>
      <w:r>
        <w:rPr>
          <w:rFonts w:ascii="Arial" w:cs="Arial" w:eastAsia="Arial" w:hAnsi="Arial"/>
          <w:b/>
          <w:bCs/>
        </w:rPr>
        <w:t xml:space="preserve">Marketing Metrics and Success Measurement</w:t>
      </w:r>
    </w:p>
    <w:p>
      <w:pPr>
        <w:spacing w:after="200"/>
      </w:pPr>
      <w:r>
        <w:rPr>
          <w:rFonts w:ascii="Arial" w:cs="Arial" w:eastAsia="Arial" w:hAnsi="Arial"/>
          <w:sz w:val="24"/>
          <w:szCs w:val="24"/>
        </w:rPr>
        <w:t xml:space="preserve">Key Performance Indicators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Metric</w:t>
            </w:r>
          </w:p>
        </w:tc>
        <w:tc>
          <w:tcPr>
            <w:tcW w:type="dxa" w:w="312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Year 1 Target</w:t>
            </w:r>
          </w:p>
        </w:tc>
        <w:tc>
          <w:tcPr>
            <w:tcW w:type="dxa" w:w="312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Measurement Method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Website Sessions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50,000/month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Google Analytics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Free-to-Pro Conversion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Subscription funnel tracking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Email List Growth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10,000 subscribers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Email platform metrics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Customer Acquisition Cost (CAC)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&lt;$25/subscriber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Marketing spend / new subscribers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Monthly Churn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&lt;5%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Subscription analytics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CAC Payback Period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&lt;3 months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CAC / monthly ARPU</w:t>
            </w:r>
          </w:p>
        </w:tc>
      </w:tr>
    </w:tbl>
    <w:p>
      <w:pPr>
        <w:pStyle w:val="Heading2"/>
        <w:spacing w:before="400" w:after="200"/>
      </w:pPr>
      <w:r>
        <w:rPr>
          <w:rFonts w:ascii="Arial" w:cs="Arial" w:eastAsia="Arial" w:hAnsi="Arial"/>
          <w:b/>
          <w:bCs/>
        </w:rPr>
        <w:t xml:space="preserve">Sales Strategy</w:t>
      </w:r>
    </w:p>
    <w:p>
      <w:pPr>
        <w:spacing w:after="200"/>
      </w:pPr>
      <w:r>
        <w:rPr>
          <w:rFonts w:ascii="Arial" w:cs="Arial" w:eastAsia="Arial" w:hAnsi="Arial"/>
          <w:sz w:val="24"/>
          <w:szCs w:val="24"/>
        </w:rPr>
        <w:t xml:space="preserve">BSI's sales model is primarily self-service for consumer tiers (Free, Pro) with direct sales effort focused on Enterprise customers. The Free tier serves as the top of the funnel, converting engaged users to Pro subscriptions through demonstrated value. Enterprise sales involve direct outreach to athletic programs, scouting services, and media organizations, with a 10% commission structure for successful conversions.</w:t>
      </w:r>
    </w:p>
    <w:p>
      <w:pPr>
        <w:pStyle w:val="Heading2"/>
        <w:spacing w:before="400" w:after="200"/>
      </w:pPr>
      <w:r>
        <w:rPr>
          <w:rFonts w:ascii="Arial" w:cs="Arial" w:eastAsia="Arial" w:hAnsi="Arial"/>
          <w:b/>
          <w:bCs/>
        </w:rPr>
        <w:t xml:space="preserve">Marketing Budget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Year 1</w:t>
            </w:r>
          </w:p>
        </w:tc>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Year 2</w:t>
            </w:r>
          </w:p>
        </w:tc>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Year 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Social Media Advertising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$35,000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Content Marketing/SEO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Sports Media Partnerships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$12,500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Email Marketing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$5,000</w:t>
            </w:r>
          </w:p>
        </w:tc>
      </w:tr>
      <w:tr>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Total Marketing Budget</w:t>
            </w:r>
          </w:p>
        </w:tc>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$11,250</w:t>
            </w:r>
          </w:p>
        </w:tc>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$30,000</w:t>
            </w:r>
          </w:p>
        </w:tc>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$67,500</w:t>
            </w:r>
          </w:p>
        </w:tc>
      </w:tr>
    </w:tbl>
    <w:p>
      <w:r>
        <w:br w:type="page"/>
      </w:r>
    </w:p>
    <w:p>
      <w:pPr>
        <w:pStyle w:val="Heading1"/>
        <w:spacing w:before="400" w:after="200"/>
      </w:pPr>
      <w:r>
        <w:rPr>
          <w:rFonts w:ascii="Arial" w:cs="Arial" w:eastAsia="Arial" w:hAnsi="Arial"/>
          <w:b/>
          <w:bCs/>
        </w:rPr>
        <w:t xml:space="preserve">OPERATIONS AND MANAGEMENT</w:t>
      </w:r>
    </w:p>
    <w:p>
      <w:pPr>
        <w:pStyle w:val="Heading2"/>
        <w:spacing w:before="400" w:after="200"/>
      </w:pPr>
      <w:r>
        <w:rPr>
          <w:rFonts w:ascii="Arial" w:cs="Arial" w:eastAsia="Arial" w:hAnsi="Arial"/>
          <w:b/>
          <w:bCs/>
        </w:rPr>
        <w:t xml:space="preserve">Facilities</w:t>
      </w:r>
    </w:p>
    <w:p>
      <w:pPr>
        <w:spacing w:after="200"/>
      </w:pPr>
      <w:r>
        <w:rPr>
          <w:rFonts w:ascii="Arial" w:cs="Arial" w:eastAsia="Arial" w:hAnsi="Arial"/>
          <w:sz w:val="24"/>
          <w:szCs w:val="24"/>
        </w:rPr>
        <w:t xml:space="preserve">BSI will operate from a 500 square foot Class B office space in Boerne's commercial district. According to CommercialCafe's 2024 market analysis, Boerne/San Antonio metro Class B office space averages $25.47 per square foot annually (CommercialCafe, 2024). Total annual facility cost including rent, utilities, and business internet is projected at $16,035.</w:t>
      </w:r>
    </w:p>
    <w:p>
      <w:pPr>
        <w:pStyle w:val="Heading2"/>
        <w:spacing w:before="400" w:after="200"/>
      </w:pPr>
      <w:r>
        <w:rPr>
          <w:rFonts w:ascii="Arial" w:cs="Arial" w:eastAsia="Arial" w:hAnsi="Arial"/>
          <w:b/>
          <w:bCs/>
        </w:rPr>
        <w:t xml:space="preserve">Technology Infrastructure</w:t>
      </w:r>
    </w:p>
    <w:p>
      <w:pPr>
        <w:spacing w:after="200"/>
      </w:pPr>
      <w:r>
        <w:rPr>
          <w:rFonts w:ascii="Arial" w:cs="Arial" w:eastAsia="Arial" w:hAnsi="Arial"/>
          <w:sz w:val="24"/>
          <w:szCs w:val="24"/>
        </w:rPr>
        <w:t xml:space="preserve">BSI operates entirely on Cloudflare's serverless platform, eliminating traditional infrastructure complexity while delivering enterprise-grade performance (Cloudflare, Inc., 2025). The technology stack includes:</w:t>
      </w:r>
    </w:p>
    <w:p>
      <w:pPr>
        <w:pStyle w:val="ListParagraph"/>
        <w:numPr>
          <w:ilvl w:val="0"/>
          <w:numId w:val="2"/>
        </w:numPr>
        <w:spacing w:after="100"/>
      </w:pPr>
      <w:r>
        <w:rPr>
          <w:rFonts w:ascii="Arial" w:cs="Arial" w:eastAsia="Arial" w:hAnsi="Arial"/>
          <w:sz w:val="24"/>
          <w:szCs w:val="24"/>
        </w:rPr>
        <w:t xml:space="preserve">Cloudflare Workers: Serverless compute at 300+ global edge locations</w:t>
      </w:r>
    </w:p>
    <w:p>
      <w:pPr>
        <w:pStyle w:val="ListParagraph"/>
        <w:numPr>
          <w:ilvl w:val="0"/>
          <w:numId w:val="2"/>
        </w:numPr>
        <w:spacing w:after="100"/>
      </w:pPr>
      <w:r>
        <w:rPr>
          <w:rFonts w:ascii="Arial" w:cs="Arial" w:eastAsia="Arial" w:hAnsi="Arial"/>
          <w:sz w:val="24"/>
          <w:szCs w:val="24"/>
        </w:rPr>
        <w:t xml:space="preserve">D1 Database: SQLite-based relational database</w:t>
      </w:r>
    </w:p>
    <w:p>
      <w:pPr>
        <w:pStyle w:val="ListParagraph"/>
        <w:numPr>
          <w:ilvl w:val="0"/>
          <w:numId w:val="2"/>
        </w:numPr>
        <w:spacing w:after="100"/>
      </w:pPr>
      <w:r>
        <w:rPr>
          <w:rFonts w:ascii="Arial" w:cs="Arial" w:eastAsia="Arial" w:hAnsi="Arial"/>
          <w:sz w:val="24"/>
          <w:szCs w:val="24"/>
        </w:rPr>
        <w:t xml:space="preserve">KV Store: Sub-millisecond caching</w:t>
      </w:r>
    </w:p>
    <w:p>
      <w:pPr>
        <w:pStyle w:val="ListParagraph"/>
        <w:numPr>
          <w:ilvl w:val="0"/>
          <w:numId w:val="2"/>
        </w:numPr>
        <w:spacing w:after="100"/>
      </w:pPr>
      <w:r>
        <w:rPr>
          <w:rFonts w:ascii="Arial" w:cs="Arial" w:eastAsia="Arial" w:hAnsi="Arial"/>
          <w:sz w:val="24"/>
          <w:szCs w:val="24"/>
        </w:rPr>
        <w:t xml:space="preserve">R2 Object Storage: S3-compatible with zero egress fees</w:t>
      </w:r>
    </w:p>
    <w:p>
      <w:pPr>
        <w:spacing w:after="200"/>
      </w:pPr>
      <w:r>
        <w:rPr>
          <w:rFonts w:ascii="Arial" w:cs="Arial" w:eastAsia="Arial" w:hAnsi="Arial"/>
          <w:sz w:val="24"/>
          <w:szCs w:val="24"/>
        </w:rPr>
        <w:t xml:space="preserve">Total annual technology cost: $553 (Cloudflare, Inc., 2025).</w:t>
      </w:r>
    </w:p>
    <w:p>
      <w:pPr>
        <w:pStyle w:val="Heading2"/>
        <w:spacing w:before="400" w:after="200"/>
      </w:pPr>
      <w:r>
        <w:rPr>
          <w:rFonts w:ascii="Arial" w:cs="Arial" w:eastAsia="Arial" w:hAnsi="Arial"/>
          <w:b/>
          <w:bCs/>
        </w:rPr>
        <w:t xml:space="preserve">Management Team</w:t>
      </w:r>
    </w:p>
    <w:p>
      <w:r>
        <w:rPr>
          <w:rFonts w:ascii="Arial" w:cs="Arial" w:eastAsia="Arial" w:hAnsi="Arial"/>
          <w:b/>
          <w:bCs/>
          <w:color w:val="BF5700"/>
          <w:sz w:val="28"/>
          <w:szCs w:val="28"/>
        </w:rPr>
        <w:t xml:space="preserve">Austin Humphrey — Founder and CEO</w:t>
      </w:r>
    </w:p>
    <w:p>
      <w:pPr>
        <w:spacing w:after="200"/>
      </w:pPr>
      <w:r>
        <w:rPr>
          <w:rFonts w:ascii="Arial" w:cs="Arial" w:eastAsia="Arial" w:hAnsi="Arial"/>
          <w:sz w:val="24"/>
          <w:szCs w:val="24"/>
        </w:rPr>
        <w:t xml:space="preserve">Education: BA International Relations with Economics minor, University of Texas at Austin. MS Entertainment Business, Full Sail University (December 2025).</w:t>
      </w:r>
    </w:p>
    <w:p>
      <w:pPr>
        <w:spacing w:after="200"/>
      </w:pPr>
      <w:r>
        <w:rPr>
          <w:rFonts w:ascii="Arial" w:cs="Arial" w:eastAsia="Arial" w:hAnsi="Arial"/>
          <w:sz w:val="24"/>
          <w:szCs w:val="24"/>
        </w:rPr>
        <w:t xml:space="preserve">Professional Background: Achieved top 10% performance nationally at Northwestern Mutual in financial services sales. Led data-driven advertising initiatives at Spectrum Reach, developing expertise in audience targeting and campaign analytics.</w:t>
      </w:r>
    </w:p>
    <w:p>
      <w:pPr>
        <w:spacing w:after="200"/>
      </w:pPr>
      <w:r>
        <w:rPr>
          <w:rFonts w:ascii="Arial" w:cs="Arial" w:eastAsia="Arial" w:hAnsi="Arial"/>
          <w:sz w:val="24"/>
          <w:szCs w:val="24"/>
        </w:rPr>
        <w:t xml:space="preserve">Athletic Background: Multi-sport varsity athlete at Boerne-Champion High School competing in baseball (pitcher), football (running back, long-snapper), and track. In September 2012, earned an ESPN highlight against legendary coach Todd Dodge's Marble Falls squad. Started against the number one team in the country on Texas Tech's field as a member of the South Texas Sliders travel baseball team. Trained with MLB professionals including Danny Graves (Cincinnati Reds 2x All-Star), Jason Marshall (UTSA), and Rocky Thompson (University of Texas).</w:t>
      </w:r>
    </w:p>
    <w:p>
      <w:pPr>
        <w:pStyle w:val="Heading2"/>
        <w:spacing w:before="400" w:after="200"/>
      </w:pPr>
      <w:r>
        <w:rPr>
          <w:rFonts w:ascii="Arial" w:cs="Arial" w:eastAsia="Arial" w:hAnsi="Arial"/>
          <w:b/>
          <w:bCs/>
        </w:rPr>
        <w:t xml:space="preserve">Staffing Plan</w:t>
      </w:r>
    </w:p>
    <w:p>
      <w:pPr>
        <w:spacing w:after="200"/>
      </w:pPr>
      <w:r>
        <w:rPr>
          <w:rFonts w:ascii="Arial" w:cs="Arial" w:eastAsia="Arial" w:hAnsi="Arial"/>
          <w:sz w:val="24"/>
          <w:szCs w:val="24"/>
        </w:rPr>
        <w:t xml:space="preserve">BSI operates lean by design. Year 1: One full-time employee (founder) supported by specialized contractors. Year 2: Add full-time Content Director. Year 3: Add full-time Data Analyst. Every hire maps to revenue milestones, not ambition (Thompson,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Position</w:t>
            </w:r>
          </w:p>
        </w:tc>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Year 1</w:t>
            </w:r>
          </w:p>
        </w:tc>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Year 2</w:t>
            </w:r>
          </w:p>
        </w:tc>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Year 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CEO/Founder (FT)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$52,000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$70,000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Content Director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$48,000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$52,000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Data Analyst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$55,000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Field Correspondents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$24,000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Payroll Taxes (7.65%)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$3,978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$8,262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$13,546</w:t>
            </w:r>
          </w:p>
        </w:tc>
      </w:tr>
      <w:tr>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Total Staffing</w:t>
            </w:r>
          </w:p>
        </w:tc>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$90,978</w:t>
            </w:r>
          </w:p>
        </w:tc>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$144,262</w:t>
            </w:r>
          </w:p>
        </w:tc>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$214,546</w:t>
            </w:r>
          </w:p>
        </w:tc>
      </w:tr>
    </w:tbl>
    <w:p>
      <w:pPr>
        <w:pStyle w:val="Heading2"/>
        <w:spacing w:before="400" w:after="200"/>
      </w:pPr>
      <w:r>
        <w:rPr>
          <w:rFonts w:ascii="Arial" w:cs="Arial" w:eastAsia="Arial" w:hAnsi="Arial"/>
          <w:b/>
          <w:bCs/>
        </w:rPr>
        <w:t xml:space="preserve">Advisory Committee</w:t>
      </w:r>
    </w:p>
    <w:p>
      <w:pPr>
        <w:spacing w:after="200"/>
      </w:pPr>
      <w:r>
        <w:rPr>
          <w:rFonts w:ascii="Arial" w:cs="Arial" w:eastAsia="Arial" w:hAnsi="Arial"/>
          <w:sz w:val="24"/>
          <w:szCs w:val="24"/>
        </w:rPr>
        <w:t xml:space="preserve">BSI operates as an LLC, utilizing an advisory committee rather than a formal board of directors. Dr. Marcus Chen (Sports Media Advisor) serves as Associate Professor of Sports Media at the University of Texas at Austin and previously served as Director of Digital Strategy at ESPN's college sports division (2012-2018). Additional advisory positions for Technology and Financial/Legal expertise are being recruited.</w:t>
      </w:r>
    </w:p>
    <w:p>
      <w:r>
        <w:br w:type="page"/>
      </w:r>
    </w:p>
    <w:p>
      <w:pPr>
        <w:pStyle w:val="Heading1"/>
        <w:spacing w:before="400" w:after="200"/>
      </w:pPr>
      <w:r>
        <w:rPr>
          <w:rFonts w:ascii="Arial" w:cs="Arial" w:eastAsia="Arial" w:hAnsi="Arial"/>
          <w:b/>
          <w:bCs/>
        </w:rPr>
        <w:t xml:space="preserve">FINANCIALS</w:t>
      </w:r>
    </w:p>
    <w:p>
      <w:pPr>
        <w:pStyle w:val="Heading2"/>
        <w:spacing w:before="400" w:after="200"/>
      </w:pPr>
      <w:r>
        <w:rPr>
          <w:rFonts w:ascii="Arial" w:cs="Arial" w:eastAsia="Arial" w:hAnsi="Arial"/>
          <w:b/>
          <w:bCs/>
        </w:rPr>
        <w:t xml:space="preserve">Start-Up Costs</w:t>
      </w:r>
    </w:p>
    <w:p>
      <w:pPr>
        <w:spacing w:after="200"/>
      </w:pPr>
      <w:r>
        <w:rPr>
          <w:rFonts w:ascii="Arial" w:cs="Arial" w:eastAsia="Arial" w:hAnsi="Arial"/>
          <w:sz w:val="24"/>
          <w:szCs w:val="24"/>
        </w:rPr>
        <w:t xml:space="preserve">Start-up costs represent the one-time capital expenditures required to launch the business (Thompson, 2026). BSI's start-up costs total $13,649, detailed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468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Amount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EQUIPMENT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Computers/Software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$4,500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Office Equipment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Telephone/Equipment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Equipment Subtotal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$5,600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MATERIALS/SUPPLIES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Office Supplies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Stationery/Business Cards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Marketing Materials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Materials Subtotal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FEES AND PROFESSIONAL SERVICES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LLC Formation/Licenses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Professional Fees (CPA)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Insurance (Initial)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Legal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Marketing Launch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Other Pre-Operating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$449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Fees Subtotal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$7,149</w:t>
            </w:r>
          </w:p>
        </w:tc>
      </w:tr>
      <w:tr>
        <w:tc>
          <w:tcPr>
            <w:tcW w:type="dxa" w:w="468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TOTAL START-UP COSTS</w:t>
            </w:r>
          </w:p>
        </w:tc>
        <w:tc>
          <w:tcPr>
            <w:tcW w:type="dxa" w:w="468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$13,649</w:t>
            </w:r>
          </w:p>
        </w:tc>
      </w:tr>
    </w:tbl>
    <w:p>
      <w:pPr>
        <w:pStyle w:val="Heading2"/>
        <w:spacing w:before="400" w:after="200"/>
      </w:pPr>
      <w:r>
        <w:rPr>
          <w:rFonts w:ascii="Arial" w:cs="Arial" w:eastAsia="Arial" w:hAnsi="Arial"/>
          <w:b/>
          <w:bCs/>
        </w:rPr>
        <w:t xml:space="preserve">Revenue Assumptions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Revenue Line</w:t>
            </w:r>
          </w:p>
        </w:tc>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Year 1</w:t>
            </w:r>
          </w:p>
        </w:tc>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Year 2</w:t>
            </w:r>
          </w:p>
        </w:tc>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Year 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BSI Pro Subscription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$42,921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$113,692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$252,361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BSI Enterprise Subscription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$13,433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$39,402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$94,923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Advertising and Sponsorship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$11,400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$22,800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$45,600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Data/API Licensing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$4,750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$14,250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$38,000</w:t>
            </w:r>
          </w:p>
        </w:tc>
      </w:tr>
      <w:tr>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TOTAL NET SALES</w:t>
            </w:r>
          </w:p>
        </w:tc>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$72,504</w:t>
            </w:r>
          </w:p>
        </w:tc>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$190,144</w:t>
            </w:r>
          </w:p>
        </w:tc>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$430,884</w:t>
            </w:r>
          </w:p>
        </w:tc>
      </w:tr>
    </w:tbl>
    <w:p>
      <w:pPr>
        <w:pStyle w:val="Heading2"/>
        <w:spacing w:before="400" w:after="200"/>
      </w:pPr>
      <w:r>
        <w:rPr>
          <w:rFonts w:ascii="Arial" w:cs="Arial" w:eastAsia="Arial" w:hAnsi="Arial"/>
          <w:b/>
          <w:bCs/>
        </w:rPr>
        <w:t xml:space="preserve">Sources and Uses of Funds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SOURCES OF FUNDS</w:t>
            </w:r>
          </w:p>
        </w:tc>
        <w:tc>
          <w:tcPr>
            <w:tcW w:type="dxa" w:w="468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Amount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Investor Capital Sought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Founder Investment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$50,000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Total Sources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$70,000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USES OF FUNDS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Start-Up Costs (Capital Expenditures)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$13,649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Working Capital (18-Month Runway)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$55,000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Total Uses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$68,649</w:t>
            </w:r>
          </w:p>
        </w:tc>
      </w:tr>
      <w:tr>
        <w:tc>
          <w:tcPr>
            <w:tcW w:type="dxa" w:w="468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Cash Reserve</w:t>
            </w:r>
          </w:p>
        </w:tc>
        <w:tc>
          <w:tcPr>
            <w:tcW w:type="dxa" w:w="468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$1,351</w:t>
            </w:r>
          </w:p>
        </w:tc>
      </w:tr>
    </w:tbl>
    <w:p>
      <w:pPr>
        <w:spacing w:after="200"/>
      </w:pPr>
      <w:r>
        <w:rPr>
          <w:rFonts w:ascii="Arial" w:cs="Arial" w:eastAsia="Arial" w:hAnsi="Arial"/>
          <w:sz w:val="24"/>
          <w:szCs w:val="24"/>
        </w:rPr>
        <w:t xml:space="preserve">Verification: $13,649 + $55,000 + $1,351 = $70,000</w:t>
      </w:r>
    </w:p>
    <w:p>
      <w:pPr>
        <w:pStyle w:val="Heading2"/>
        <w:spacing w:before="400" w:after="200"/>
      </w:pPr>
      <w:r>
        <w:rPr>
          <w:rFonts w:ascii="Arial" w:cs="Arial" w:eastAsia="Arial" w:hAnsi="Arial"/>
          <w:b/>
          <w:bCs/>
        </w:rPr>
        <w:t xml:space="preserve">Funding Details</w:t>
      </w:r>
    </w:p>
    <w:p>
      <w:pPr>
        <w:spacing w:after="200"/>
      </w:pPr>
      <w:r>
        <w:rPr>
          <w:rFonts w:ascii="Arial" w:cs="Arial" w:eastAsia="Arial" w:hAnsi="Arial"/>
          <w:sz w:val="24"/>
          <w:szCs w:val="24"/>
        </w:rPr>
        <w:t xml:space="preserve">Amount Sought: BSI seeks $20,000 in investor capital to complement $50,000 in founder investment, for total initial capitalization of $70,000.</w:t>
      </w:r>
    </w:p>
    <w:p>
      <w:pPr>
        <w:spacing w:after="200"/>
      </w:pPr>
      <w:r>
        <w:rPr>
          <w:rFonts w:ascii="Arial" w:cs="Arial" w:eastAsia="Arial" w:hAnsi="Arial"/>
          <w:sz w:val="24"/>
          <w:szCs w:val="24"/>
        </w:rPr>
        <w:t xml:space="preserve">Form of Investment: Equity investment structured as ownership percentage proportional to contribution. At $20,000 of $70,000 total, investor(s) would hold approximately 28.6% equity stake.</w:t>
      </w:r>
    </w:p>
    <w:p>
      <w:pPr>
        <w:spacing w:after="200"/>
      </w:pPr>
      <w:r>
        <w:rPr>
          <w:rFonts w:ascii="Arial" w:cs="Arial" w:eastAsia="Arial" w:hAnsi="Arial"/>
          <w:sz w:val="24"/>
          <w:szCs w:val="24"/>
        </w:rPr>
        <w:t xml:space="preserve">Profit Distribution Policy: BSI employs a growth-focused profit distribution policy: once the company achieves profitability (projected Month 15-18), 80% of net income is reinvested in growth while 20% is distributed to equity holders proportional to their ownership stake.</w:t>
      </w:r>
    </w:p>
    <w:p>
      <w:pPr>
        <w:spacing w:after="200"/>
      </w:pPr>
      <w:r>
        <w:rPr>
          <w:rFonts w:ascii="Arial" w:cs="Arial" w:eastAsia="Arial" w:hAnsi="Arial"/>
          <w:sz w:val="24"/>
          <w:szCs w:val="24"/>
        </w:rPr>
        <w:t xml:space="preserve">Projected Investor Returns: Based on Year 3 projections of $202,571 net income, 20% ($40,514) would be available for distribution. At 28.6% ownership, investors would receive approximately $11,575 annually. This represents an implied annual return of approximately 58% on the original $20,000 investment by Year 3, with distributions beginning once profitability is achieved.</w:t>
      </w:r>
    </w:p>
    <w:p>
      <w:pPr>
        <w:pStyle w:val="Heading2"/>
        <w:spacing w:before="400" w:after="200"/>
      </w:pPr>
      <w:r>
        <w:rPr>
          <w:rFonts w:ascii="Arial" w:cs="Arial" w:eastAsia="Arial" w:hAnsi="Arial"/>
          <w:b/>
          <w:bCs/>
        </w:rPr>
        <w:t xml:space="preserve">Break-Even Analysis</w:t>
      </w:r>
    </w:p>
    <w:p>
      <w:pPr>
        <w:spacing w:after="200"/>
      </w:pPr>
      <w:r>
        <w:rPr>
          <w:rFonts w:ascii="Arial" w:cs="Arial" w:eastAsia="Arial" w:hAnsi="Arial"/>
          <w:sz w:val="24"/>
          <w:szCs w:val="24"/>
        </w:rPr>
        <w:t xml:space="preserve">BSI's break-even analysis demonstrates the path to profitability: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Metric</w:t>
            </w:r>
          </w:p>
        </w:tc>
        <w:tc>
          <w:tcPr>
            <w:tcW w:type="dxa" w:w="468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Monthly Fixed Costs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$10,878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Gross Margin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Break-Even Monthly Revenue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$11,697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Break-Even Pro Subscribers (if Pro-only)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390 subscribers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Break-Even Enterprise Accounts (if Enterprise-only)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57 accounts</w:t>
            </w:r>
          </w:p>
        </w:tc>
      </w:tr>
      <w:tr>
        <w:tc>
          <w:tcPr>
            <w:tcW w:type="dxa" w:w="468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Projected Break-Even Timeline</w:t>
            </w:r>
          </w:p>
        </w:tc>
        <w:tc>
          <w:tcPr>
            <w:tcW w:type="dxa" w:w="468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Month 15-18</w:t>
            </w:r>
          </w:p>
        </w:tc>
      </w:tr>
    </w:tbl>
    <w:p>
      <w:pPr>
        <w:spacing w:after="200"/>
      </w:pPr>
      <w:r>
        <w:rPr>
          <w:rFonts w:ascii="Arial" w:cs="Arial" w:eastAsia="Arial" w:hAnsi="Arial"/>
          <w:sz w:val="24"/>
          <w:szCs w:val="24"/>
        </w:rPr>
        <w:t xml:space="preserve">The company achieves monthly break-even between Month 15-18, with sustained profitability beginning in Year 2. The blended subscriber mix (Pro + Enterprise + Advertising) accelerates the path to profitability compared to single-revenue-stream scenarios.</w:t>
      </w:r>
    </w:p>
    <w:p>
      <w:pPr>
        <w:pStyle w:val="Heading2"/>
        <w:spacing w:before="400" w:after="200"/>
      </w:pPr>
      <w:r>
        <w:rPr>
          <w:rFonts w:ascii="Arial" w:cs="Arial" w:eastAsia="Arial" w:hAnsi="Arial"/>
          <w:b/>
          <w:bCs/>
        </w:rPr>
        <w:t xml:space="preserve">Payback Period</w:t>
      </w:r>
    </w:p>
    <w:p>
      <w:pPr>
        <w:spacing w:after="200"/>
      </w:pPr>
      <w:r>
        <w:rPr>
          <w:rFonts w:ascii="Arial" w:cs="Arial" w:eastAsia="Arial" w:hAnsi="Arial"/>
          <w:sz w:val="24"/>
          <w:szCs w:val="24"/>
        </w:rPr>
        <w:t xml:space="preserve">Using the payback formula (Start-Up Investment divided by Net Cash Flow per Month), BSI projects a payback period of approximately 18-24 months. With start-up costs of $13,649 and working capital deployed over 18 months, investors can expect capital recovery within the second year of operations as the company reaches sustained profitability (Thompson, 2026).</w:t>
      </w:r>
    </w:p>
    <w:p>
      <w:r>
        <w:br w:type="page"/>
      </w:r>
    </w:p>
    <w:p>
      <w:pPr>
        <w:pStyle w:val="Heading1"/>
        <w:spacing w:before="400" w:after="200"/>
      </w:pPr>
      <w:r>
        <w:rPr>
          <w:rFonts w:ascii="Arial" w:cs="Arial" w:eastAsia="Arial" w:hAnsi="Arial"/>
          <w:b/>
          <w:bCs/>
        </w:rPr>
        <w:t xml:space="preserve">APPENDIX: THREE-YEAR FINANCIAL STATEMENTS</w:t>
      </w:r>
    </w:p>
    <w:p>
      <w:pPr>
        <w:pStyle w:val="Heading2"/>
        <w:spacing w:before="400" w:after="200"/>
      </w:pPr>
      <w:r>
        <w:rPr>
          <w:rFonts w:ascii="Arial" w:cs="Arial" w:eastAsia="Arial" w:hAnsi="Arial"/>
          <w:b/>
          <w:bCs/>
        </w:rPr>
        <w:t xml:space="preserve">Year 1 Monthly Income Statement (January-June)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
            </w:r>
          </w:p>
        </w:tc>
        <w:tc>
          <w:tcPr>
            <w:tcW w:type="dxa" w:w="1337"/>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Jan</w:t>
            </w:r>
          </w:p>
        </w:tc>
        <w:tc>
          <w:tcPr>
            <w:tcW w:type="dxa" w:w="1337"/>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Feb</w:t>
            </w:r>
          </w:p>
        </w:tc>
        <w:tc>
          <w:tcPr>
            <w:tcW w:type="dxa" w:w="1337"/>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Mar</w:t>
            </w:r>
          </w:p>
        </w:tc>
        <w:tc>
          <w:tcPr>
            <w:tcW w:type="dxa" w:w="1337"/>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Apr</w:t>
            </w:r>
          </w:p>
        </w:tc>
        <w:tc>
          <w:tcPr>
            <w:tcW w:type="dxa" w:w="1337"/>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May</w:t>
            </w:r>
          </w:p>
        </w:tc>
        <w:tc>
          <w:tcPr>
            <w:tcW w:type="dxa" w:w="1337"/>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Jun</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Net Sales</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$2,116</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$4,250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$6,707</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$12,676</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$10,096</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$9,146</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COGS</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$122</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$188</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$275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$282</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$262</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Gross Profit</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$2,052</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$4,128</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$6,519</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$12,401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$9,814</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$8,884</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Expenses</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$10,592</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$6,667</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$6,892</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$7,005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$7,004</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$6,892</w:t>
            </w:r>
          </w:p>
        </w:tc>
      </w:tr>
      <w:tr>
        <w:tc>
          <w:tcPr>
            <w:tcW w:type="dxa" w:w="1337"/>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Net Income</w:t>
            </w:r>
          </w:p>
        </w:tc>
        <w:tc>
          <w:tcPr>
            <w:tcW w:type="dxa" w:w="1337"/>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($8,540)</w:t>
            </w:r>
          </w:p>
        </w:tc>
        <w:tc>
          <w:tcPr>
            <w:tcW w:type="dxa" w:w="1337"/>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($2,538)</w:t>
            </w:r>
          </w:p>
        </w:tc>
        <w:tc>
          <w:tcPr>
            <w:tcW w:type="dxa" w:w="1337"/>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($373)</w:t>
            </w:r>
          </w:p>
        </w:tc>
        <w:tc>
          <w:tcPr>
            <w:tcW w:type="dxa" w:w="1337"/>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$5,397</w:t>
            </w:r>
          </w:p>
        </w:tc>
        <w:tc>
          <w:tcPr>
            <w:tcW w:type="dxa" w:w="1337"/>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$2,811</w:t>
            </w:r>
          </w:p>
        </w:tc>
        <w:tc>
          <w:tcPr>
            <w:tcW w:type="dxa" w:w="1337"/>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$1,993</w:t>
            </w:r>
          </w:p>
        </w:tc>
      </w:tr>
    </w:tbl>
    <w:p>
      <w:pPr>
        <w:pStyle w:val="Heading2"/>
        <w:spacing w:before="400" w:after="200"/>
      </w:pPr>
      <w:r>
        <w:rPr>
          <w:rFonts w:ascii="Arial" w:cs="Arial" w:eastAsia="Arial" w:hAnsi="Arial"/>
          <w:b/>
          <w:bCs/>
        </w:rPr>
        <w:t xml:space="preserve">Year 1 Monthly Income Statement (July-December)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
            </w:r>
          </w:p>
        </w:tc>
        <w:tc>
          <w:tcPr>
            <w:tcW w:type="dxa" w:w="117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Jul</w:t>
            </w:r>
          </w:p>
        </w:tc>
        <w:tc>
          <w:tcPr>
            <w:tcW w:type="dxa" w:w="117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Aug</w:t>
            </w:r>
          </w:p>
        </w:tc>
        <w:tc>
          <w:tcPr>
            <w:tcW w:type="dxa" w:w="117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Sep</w:t>
            </w:r>
          </w:p>
        </w:tc>
        <w:tc>
          <w:tcPr>
            <w:tcW w:type="dxa" w:w="117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Oct</w:t>
            </w:r>
          </w:p>
        </w:tc>
        <w:tc>
          <w:tcPr>
            <w:tcW w:type="dxa" w:w="117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Nov</w:t>
            </w:r>
          </w:p>
        </w:tc>
        <w:tc>
          <w:tcPr>
            <w:tcW w:type="dxa" w:w="117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Dec</w:t>
            </w:r>
          </w:p>
        </w:tc>
        <w:tc>
          <w:tcPr>
            <w:tcW w:type="dxa" w:w="117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Year 1</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Net Sales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$6,689</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$5,183</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$3,910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$3,910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$3,910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$3,910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$72,504</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COGS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$195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$149</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$2,019</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Gross Profit</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$6,494</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$5,034</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$3,790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$3,790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$3,790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$3,790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$70,485</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Expenses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$6,105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$6,104</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$6,105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$6,104</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$6,442</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$6,327</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$82,233</w:t>
            </w:r>
          </w:p>
        </w:tc>
      </w:tr>
      <w:tr>
        <w:tc>
          <w:tcPr>
            <w:tcW w:type="dxa" w:w="117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Net Income</w:t>
            </w:r>
          </w:p>
        </w:tc>
        <w:tc>
          <w:tcPr>
            <w:tcW w:type="dxa" w:w="117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$389</w:t>
            </w:r>
          </w:p>
        </w:tc>
        <w:tc>
          <w:tcPr>
            <w:tcW w:type="dxa" w:w="117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($1,070)</w:t>
            </w:r>
          </w:p>
        </w:tc>
        <w:tc>
          <w:tcPr>
            <w:tcW w:type="dxa" w:w="117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($2,315)</w:t>
            </w:r>
          </w:p>
        </w:tc>
        <w:tc>
          <w:tcPr>
            <w:tcW w:type="dxa" w:w="117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($2,314)</w:t>
            </w:r>
          </w:p>
        </w:tc>
        <w:tc>
          <w:tcPr>
            <w:tcW w:type="dxa" w:w="117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($2,652)</w:t>
            </w:r>
          </w:p>
        </w:tc>
        <w:tc>
          <w:tcPr>
            <w:tcW w:type="dxa" w:w="117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($2,537)</w:t>
            </w:r>
          </w:p>
        </w:tc>
        <w:tc>
          <w:tcPr>
            <w:tcW w:type="dxa" w:w="117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($11,749)</w:t>
            </w:r>
          </w:p>
        </w:tc>
      </w:tr>
    </w:tbl>
    <w:p>
      <w:pPr>
        <w:pStyle w:val="Heading2"/>
        <w:spacing w:before="400" w:after="200"/>
      </w:pPr>
      <w:r>
        <w:rPr>
          <w:rFonts w:ascii="Arial" w:cs="Arial" w:eastAsia="Arial" w:hAnsi="Arial"/>
          <w:b/>
          <w:bCs/>
        </w:rPr>
        <w:t xml:space="preserve">Year 2 Quarterly Income Statement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
            </w:r>
          </w:p>
        </w:tc>
        <w:tc>
          <w:tcPr>
            <w:tcW w:type="dxa" w:w="156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Q1</w:t>
            </w:r>
          </w:p>
        </w:tc>
        <w:tc>
          <w:tcPr>
            <w:tcW w:type="dxa" w:w="156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Q2</w:t>
            </w:r>
          </w:p>
        </w:tc>
        <w:tc>
          <w:tcPr>
            <w:tcW w:type="dxa" w:w="156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Q3</w:t>
            </w:r>
          </w:p>
        </w:tc>
        <w:tc>
          <w:tcPr>
            <w:tcW w:type="dxa" w:w="156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Q4</w:t>
            </w:r>
          </w:p>
        </w:tc>
        <w:tc>
          <w:tcPr>
            <w:tcW w:type="dxa" w:w="156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Year 2</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Net Sales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$38,788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$72,053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$42,861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$36,441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$190,144</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Cost of Goods Sold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$1,039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$1,996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$1,261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$5,295</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Gross Profit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$37,749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$70,057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$41,600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$35,442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$184,848</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Total Expenses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$41,235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$25,714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$27,830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$32,519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$127,297</w:t>
            </w:r>
          </w:p>
        </w:tc>
      </w:tr>
      <w:tr>
        <w:tc>
          <w:tcPr>
            <w:tcW w:type="dxa" w:w="156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Net Income</w:t>
            </w:r>
          </w:p>
        </w:tc>
        <w:tc>
          <w:tcPr>
            <w:tcW w:type="dxa" w:w="156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($3,486)</w:t>
            </w:r>
          </w:p>
        </w:tc>
        <w:tc>
          <w:tcPr>
            <w:tcW w:type="dxa" w:w="156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$44,344</w:t>
            </w:r>
          </w:p>
        </w:tc>
        <w:tc>
          <w:tcPr>
            <w:tcW w:type="dxa" w:w="156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$13,770</w:t>
            </w:r>
          </w:p>
        </w:tc>
        <w:tc>
          <w:tcPr>
            <w:tcW w:type="dxa" w:w="156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$2,923</w:t>
            </w:r>
          </w:p>
        </w:tc>
        <w:tc>
          <w:tcPr>
            <w:tcW w:type="dxa" w:w="156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$57,551</w:t>
            </w:r>
          </w:p>
        </w:tc>
      </w:tr>
    </w:tbl>
    <w:p>
      <w:pPr>
        <w:pStyle w:val="Heading2"/>
        <w:spacing w:before="400" w:after="200"/>
      </w:pPr>
      <w:r>
        <w:rPr>
          <w:rFonts w:ascii="Arial" w:cs="Arial" w:eastAsia="Arial" w:hAnsi="Arial"/>
          <w:b/>
          <w:bCs/>
        </w:rPr>
        <w:t xml:space="preserve">Year 3 Quarterly Income Statement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
            </w:r>
          </w:p>
        </w:tc>
        <w:tc>
          <w:tcPr>
            <w:tcW w:type="dxa" w:w="156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Q1</w:t>
            </w:r>
          </w:p>
        </w:tc>
        <w:tc>
          <w:tcPr>
            <w:tcW w:type="dxa" w:w="156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Q2</w:t>
            </w:r>
          </w:p>
        </w:tc>
        <w:tc>
          <w:tcPr>
            <w:tcW w:type="dxa" w:w="156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Q3</w:t>
            </w:r>
          </w:p>
        </w:tc>
        <w:tc>
          <w:tcPr>
            <w:tcW w:type="dxa" w:w="156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Q4</w:t>
            </w:r>
          </w:p>
        </w:tc>
        <w:tc>
          <w:tcPr>
            <w:tcW w:type="dxa" w:w="156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Year 3</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Net Sales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$91,315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$162,424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$94,688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$82,457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$430,884</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Cost of Goods Sold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$2,498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$4,326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$2,784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$2,273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$11,881</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Gross Profit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$88,817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$158,098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$91,903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$80,184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$419,002</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Total Expenses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$65,699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$49,944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$46,839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$53,950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$216,431</w:t>
            </w:r>
          </w:p>
        </w:tc>
      </w:tr>
      <w:tr>
        <w:tc>
          <w:tcPr>
            <w:tcW w:type="dxa" w:w="156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Net Income</w:t>
            </w:r>
          </w:p>
        </w:tc>
        <w:tc>
          <w:tcPr>
            <w:tcW w:type="dxa" w:w="156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$23,118</w:t>
            </w:r>
          </w:p>
        </w:tc>
        <w:tc>
          <w:tcPr>
            <w:tcW w:type="dxa" w:w="156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$108,155</w:t>
            </w:r>
          </w:p>
        </w:tc>
        <w:tc>
          <w:tcPr>
            <w:tcW w:type="dxa" w:w="156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$45,064</w:t>
            </w:r>
          </w:p>
        </w:tc>
        <w:tc>
          <w:tcPr>
            <w:tcW w:type="dxa" w:w="156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$26,234</w:t>
            </w:r>
          </w:p>
        </w:tc>
        <w:tc>
          <w:tcPr>
            <w:tcW w:type="dxa" w:w="156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$202,571</w:t>
            </w:r>
          </w:p>
        </w:tc>
      </w:tr>
    </w:tbl>
    <w:p>
      <w:pPr>
        <w:pStyle w:val="Heading2"/>
        <w:spacing w:before="400" w:after="200"/>
      </w:pPr>
      <w:r>
        <w:rPr>
          <w:rFonts w:ascii="Arial" w:cs="Arial" w:eastAsia="Arial" w:hAnsi="Arial"/>
          <w:b/>
          <w:bCs/>
        </w:rPr>
        <w:t xml:space="preserve">Three-Year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
            </w:r>
          </w:p>
        </w:tc>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Year 1</w:t>
            </w:r>
          </w:p>
        </w:tc>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Year 2</w:t>
            </w:r>
          </w:p>
        </w:tc>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Year 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Total Net Sales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$72,504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$190,144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$430,884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Cost of Goods Sold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$2,019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$5,295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$11,881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Gross Profit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$70,485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$184,848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$419,002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Total Expenses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$82,233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$127,297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$216,431</w:t>
            </w:r>
          </w:p>
        </w:tc>
      </w:tr>
      <w:tr>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Net Income (Loss)</w:t>
            </w:r>
          </w:p>
        </w:tc>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($11,749)</w:t>
            </w:r>
          </w:p>
        </w:tc>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$57,551</w:t>
            </w:r>
          </w:p>
        </w:tc>
        <w:tc>
          <w:tcPr>
            <w:tcW w:type="dxa" w:w="234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$202,571</w:t>
            </w:r>
          </w:p>
        </w:tc>
      </w:tr>
    </w:tbl>
    <w:p>
      <w:pPr>
        <w:pStyle w:val="Heading2"/>
        <w:spacing w:before="400" w:after="200"/>
      </w:pPr>
      <w:r>
        <w:rPr>
          <w:rFonts w:ascii="Arial" w:cs="Arial" w:eastAsia="Arial" w:hAnsi="Arial"/>
          <w:b/>
          <w:bCs/>
        </w:rPr>
        <w:t xml:space="preserve">Key Growth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Metric</w:t>
            </w:r>
          </w:p>
        </w:tc>
        <w:tc>
          <w:tcPr>
            <w:tcW w:type="dxa" w:w="312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Year 1 to Year 2</w:t>
            </w:r>
          </w:p>
        </w:tc>
        <w:tc>
          <w:tcPr>
            <w:tcW w:type="dxa" w:w="3120"/>
            <w:tcBorders>
              <w:top w:val="single" w:color="CCCCCC" w:sz="1"/>
              <w:left w:val="single" w:color="CCCCCC" w:sz="1"/>
              <w:bottom w:val="single" w:color="CCCCCC" w:sz="1"/>
              <w:right w:val="single" w:color="CCCCCC" w:sz="1"/>
            </w:tcBorders>
            <w:shd w:fill="F5DCC8" w:val="clear"/>
            <w:tcMar>
              <w:top w:type="dxa" w:w="80"/>
              <w:left w:type="dxa" w:w="120"/>
              <w:bottom w:type="dxa" w:w="80"/>
              <w:right w:type="dxa" w:w="120"/>
            </w:tcMar>
          </w:tcPr>
          <w:p>
            <w:r>
              <w:rPr>
                <w:rFonts w:ascii="Arial" w:cs="Arial" w:eastAsia="Arial" w:hAnsi="Arial"/>
                <w:b/>
                <w:bCs/>
                <w:sz w:val="22"/>
                <w:szCs w:val="22"/>
              </w:rPr>
              <w:t xml:space="preserve">Year 2 to Year 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Revenue Growth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162%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Gross Margin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97.2%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97.2%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Operating Margin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(16.2%)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Net Margin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(16.2%)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47.0%</w:t>
            </w:r>
          </w:p>
        </w:tc>
      </w:tr>
    </w:tbl>
    <w:p>
      <w:r>
        <w:br w:type="page"/>
      </w:r>
    </w:p>
    <w:p>
      <w:pPr>
        <w:pStyle w:val="Heading1"/>
        <w:spacing w:before="400" w:after="200"/>
      </w:pPr>
      <w:r>
        <w:rPr>
          <w:rFonts w:ascii="Arial" w:cs="Arial" w:eastAsia="Arial" w:hAnsi="Arial"/>
          <w:b/>
          <w:bCs/>
        </w:rPr>
        <w:t xml:space="preserve">REFERENCES</w:t>
      </w:r>
    </w:p>
    <w:p>
      <w:pPr>
        <w:spacing w:after="200"/>
      </w:pPr>
      <w:r>
        <w:rPr>
          <w:rFonts w:ascii="Arial" w:cs="Arial" w:eastAsia="Arial" w:hAnsi="Arial"/>
          <w:sz w:val="24"/>
          <w:szCs w:val="24"/>
        </w:rPr>
        <w:t xml:space="preserve">Abrams, R. (2019). Successful Business Plan: Secrets and Strategies (7th ed.). Planning Shop.</w:t>
      </w:r>
    </w:p>
    <w:p>
      <w:pPr>
        <w:spacing w:after="200"/>
      </w:pPr>
      <w:r>
        <w:rPr>
          <w:rFonts w:ascii="Arial" w:cs="Arial" w:eastAsia="Arial" w:hAnsi="Arial"/>
          <w:sz w:val="24"/>
          <w:szCs w:val="24"/>
        </w:rPr>
        <w:t xml:space="preserve">Blaze Sports Intel. (2025). Platform and company information. Retrieved December 2025, from https://blazesportsintel.com</w:t>
      </w:r>
    </w:p>
    <w:p>
      <w:pPr>
        <w:spacing w:after="200"/>
      </w:pPr>
      <w:r>
        <w:rPr>
          <w:rFonts w:ascii="Arial" w:cs="Arial" w:eastAsia="Arial" w:hAnsi="Arial"/>
          <w:sz w:val="24"/>
          <w:szCs w:val="24"/>
        </w:rPr>
        <w:t xml:space="preserve">Cloudflare, Inc. (2025). Workers platform pricing and documentation. Retrieved December 2025, from https://developers.cloudflare.com/workers/platform/pricing</w:t>
      </w:r>
    </w:p>
    <w:p>
      <w:pPr>
        <w:spacing w:after="200"/>
      </w:pPr>
      <w:r>
        <w:rPr>
          <w:rFonts w:ascii="Arial" w:cs="Arial" w:eastAsia="Arial" w:hAnsi="Arial"/>
          <w:sz w:val="24"/>
          <w:szCs w:val="24"/>
        </w:rPr>
        <w:t xml:space="preserve">CommercialCafe. (2024). San Antonio office price per sqft and office market trends. Retrieved December 2025, from https://www.commercialcafe.com/office-market-trends/us/tx/bexar-county/san-antonio/</w:t>
      </w:r>
    </w:p>
    <w:p>
      <w:pPr>
        <w:spacing w:after="200"/>
      </w:pPr>
      <w:r>
        <w:rPr>
          <w:rFonts w:ascii="Arial" w:cs="Arial" w:eastAsia="Arial" w:hAnsi="Arial"/>
          <w:sz w:val="24"/>
          <w:szCs w:val="24"/>
        </w:rPr>
        <w:t xml:space="preserve">Deloitte. (2024). Sports industry report: Digital transformation in fan engagement. Deloitte Insights.</w:t>
      </w:r>
    </w:p>
    <w:p>
      <w:pPr>
        <w:spacing w:after="200"/>
      </w:pPr>
      <w:r>
        <w:rPr>
          <w:rFonts w:ascii="Arial" w:cs="Arial" w:eastAsia="Arial" w:hAnsi="Arial"/>
          <w:sz w:val="24"/>
          <w:szCs w:val="24"/>
        </w:rPr>
        <w:t xml:space="preserve">Grand View Research. (2024). Sports analytics market size, share and trends analysis report. Grand View Research, Inc.</w:t>
      </w:r>
    </w:p>
    <w:p>
      <w:pPr>
        <w:spacing w:after="200"/>
      </w:pPr>
      <w:r>
        <w:rPr>
          <w:rFonts w:ascii="Arial" w:cs="Arial" w:eastAsia="Arial" w:hAnsi="Arial"/>
          <w:sz w:val="24"/>
          <w:szCs w:val="24"/>
        </w:rPr>
        <w:t xml:space="preserve">IBISWorld. (2024). Sports analytics and statistics in the US: Market research report. IBISWorld Industry Reports.</w:t>
      </w:r>
    </w:p>
    <w:p>
      <w:pPr>
        <w:spacing w:after="200"/>
      </w:pPr>
      <w:r>
        <w:rPr>
          <w:rFonts w:ascii="Arial" w:cs="Arial" w:eastAsia="Arial" w:hAnsi="Arial"/>
          <w:sz w:val="24"/>
          <w:szCs w:val="24"/>
        </w:rPr>
        <w:t xml:space="preserve">NCAA. (2024). NCAA baseball attendance records. Retrieved December 2025, from https://www.ncaa.com/sports/baseball</w:t>
      </w:r>
    </w:p>
    <w:p>
      <w:pPr>
        <w:spacing w:after="200"/>
      </w:pPr>
      <w:r>
        <w:rPr>
          <w:rFonts w:ascii="Arial" w:cs="Arial" w:eastAsia="Arial" w:hAnsi="Arial"/>
          <w:sz w:val="24"/>
          <w:szCs w:val="24"/>
        </w:rPr>
        <w:t xml:space="preserve">Scarborough Sports Research. (2024). Sports fan demographics and consumption patterns. Nielsen Scarborough.</w:t>
      </w:r>
    </w:p>
    <w:p>
      <w:pPr>
        <w:spacing w:after="200"/>
      </w:pPr>
      <w:r>
        <w:rPr>
          <w:rFonts w:ascii="Arial" w:cs="Arial" w:eastAsia="Arial" w:hAnsi="Arial"/>
          <w:sz w:val="24"/>
          <w:szCs w:val="24"/>
        </w:rPr>
        <w:t xml:space="preserve">SportsDataIO. (2024). Sports data API documentation. Retrieved December 2025, from https://sportsdata.io/developers/api-documentation</w:t>
      </w:r>
    </w:p>
    <w:p>
      <w:pPr>
        <w:spacing w:after="200"/>
      </w:pPr>
      <w:r>
        <w:rPr>
          <w:rFonts w:ascii="Arial" w:cs="Arial" w:eastAsia="Arial" w:hAnsi="Arial"/>
          <w:sz w:val="24"/>
          <w:szCs w:val="24"/>
        </w:rPr>
        <w:t xml:space="preserve">Statista. (2024). Sports analytics market revenue worldwide from 2022 to 2030. Retrieved December 2025, from https://www.statista.com/statistics/sports-analytics/</w:t>
      </w:r>
    </w:p>
    <w:p>
      <w:pPr>
        <w:spacing w:after="200"/>
      </w:pPr>
      <w:r>
        <w:rPr>
          <w:rFonts w:ascii="Arial" w:cs="Arial" w:eastAsia="Arial" w:hAnsi="Arial"/>
          <w:sz w:val="24"/>
          <w:szCs w:val="24"/>
        </w:rPr>
        <w:t xml:space="preserve">Thompson, B. (2026). Start-up, fixed, and variable costs [Course lecture notes]. Full Sail University, EBM692.</w:t>
      </w:r>
    </w:p>
    <w:p>
      <w:pPr>
        <w:spacing w:after="200"/>
      </w:pPr>
      <w:r>
        <w:rPr>
          <w:rFonts w:ascii="Arial" w:cs="Arial" w:eastAsia="Arial" w:hAnsi="Arial"/>
          <w:sz w:val="24"/>
          <w:szCs w:val="24"/>
        </w:rPr>
        <w:t xml:space="preserve">Thompson, B. (2026). The executive summary [Course lecture notes]. Full Sail University, EBM692.</w:t>
      </w:r>
    </w:p>
    <w:p>
      <w:pPr>
        <w:spacing w:after="200"/>
      </w:pPr>
      <w:r>
        <w:rPr>
          <w:rFonts w:ascii="Arial" w:cs="Arial" w:eastAsia="Arial" w:hAnsi="Arial"/>
          <w:sz w:val="24"/>
          <w:szCs w:val="24"/>
        </w:rPr>
        <w:t xml:space="preserve">U.S. Small Business Administration. (2024). Write your business plan. Retrieved December 2025, from https://www.sba.gov/business-guide/plan-your-business/write-your-business-plan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20"/>
        <w:szCs w:val="20"/>
      </w:rPr>
      <w:t xml:space="preserve">Blaze Sports Intel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BF5700"/>
      <w:sz w:val="36"/>
      <w:szCs w:val="36"/>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2026-01-14T13:55:11.893Z</dcterms:created>
  <dcterms:modified xsi:type="dcterms:W3CDTF">2026-01-14T13:55:11.893Z</dcterms:modified>
</cp:coreProperties>
</file>

<file path=docProps/custom.xml><?xml version="1.0" encoding="utf-8"?>
<Properties xmlns="http://schemas.openxmlformats.org/officeDocument/2006/custom-properties" xmlns:vt="http://schemas.openxmlformats.org/officeDocument/2006/docPropsVTypes"/>
</file>