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Consciousness and Robot Sentience (Topic 17)</w:t>
      </w:r>
    </w:p>
    <w:p w:rsidR="00000000" w:rsidDel="00000000" w:rsidP="00000000" w:rsidRDefault="00000000" w:rsidRPr="00000000" w14:paraId="00000002">
      <w:pPr>
        <w:spacing w:line="480" w:lineRule="auto"/>
        <w:rPr/>
      </w:pPr>
      <w:bookmarkStart w:colFirst="0" w:colLast="0" w:name="_1gso8z53rcp7" w:id="0"/>
      <w:bookmarkEnd w:id="0"/>
      <w:r w:rsidDel="00000000" w:rsidR="00000000" w:rsidRPr="00000000">
        <w:rPr>
          <w:rtl w:val="0"/>
        </w:rPr>
        <w:tab/>
        <w:t xml:space="preserve">Consciousness is a vague definition, as great thinkers throughout the centuries have managed to identify the two polar ends of its continuum without finding the true answer to the problem, which is: what unexplained phenomena “fills the gap” between the external world and our own subjective experiences?  While empirical facts tell us the existence of physical neurons within the brain </w:t>
      </w:r>
      <w:r w:rsidDel="00000000" w:rsidR="00000000" w:rsidRPr="00000000">
        <w:rPr>
          <w:i w:val="1"/>
          <w:iCs w:val="1"/>
          <w:rtl w:val="0"/>
        </w:rPr>
        <w:t xml:space="preserve">sometimes</w:t>
      </w:r>
      <w:r w:rsidDel="00000000" w:rsidR="00000000" w:rsidRPr="00000000">
        <w:rPr>
          <w:rtl w:val="0"/>
        </w:rPr>
        <w:t xml:space="preserve"> connect the material and immaterial world, vital evidence remains unanswered, as the more theorists attempt to explain the “missing link,” the less it seems that they truly understand it.  This relationship was something the author described perfectly with his metaphor explaining how philosophers and engineers have erected “sky-scrapers on the both banks of the explanatory gap,” while continuing to neglect the need for a “bridge over the gorge” to tie everything together.  The idea of subjective consciousness is crucial to this course due to the fact extraterrestrial life may not take the external form we expect, or even arise out of biological processes as humans, but could still have achieved the same “consciousness” despite being artificially crafted.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AST 309L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