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Globalization: Assimilation vs. Diversification</w:t>
      </w:r>
    </w:p>
    <w:p w:rsidR="00000000" w:rsidDel="00000000" w:rsidP="00000000" w:rsidRDefault="00000000" w:rsidRPr="00000000" w14:paraId="00000002">
      <w:pPr>
        <w:spacing w:line="480" w:lineRule="auto"/>
        <w:rPr/>
      </w:pPr>
      <w:r w:rsidDel="00000000" w:rsidR="00000000" w:rsidRPr="00000000">
        <w:rPr>
          <w:rtl w:val="0"/>
        </w:rPr>
        <w:tab/>
        <w:t xml:space="preserve">Despite its complex nature and wide-ranging spectrum of sentiments towards it around the globe, one thing is for sure: globalization is here to stay.  As we see throughout all three of the assigned pieces, part of the muddled nature of this process is the various definitions and ideas people have for what globalization truly is and does.  While most agree that, as a whole, this shift has brought about a greater standard of living for nearly everyone on planet earth in a macro sense, there are still a select few who find the micro effects to be less appealing for certain groups.  Therefore, the authors of each of these articles share their definition of globalization, exploring how the economic and social relationships between small-scale, everyday life can help in better understanding the process in a larger, global sense.</w:t>
      </w:r>
    </w:p>
    <w:p w:rsidR="00000000" w:rsidDel="00000000" w:rsidP="00000000" w:rsidRDefault="00000000" w:rsidRPr="00000000" w14:paraId="00000003">
      <w:pPr>
        <w:spacing w:line="480" w:lineRule="auto"/>
        <w:ind w:firstLine="720"/>
        <w:rPr/>
      </w:pPr>
      <w:bookmarkStart w:colFirst="0" w:colLast="0" w:name="_wx84nv4ievby" w:id="0"/>
      <w:bookmarkEnd w:id="0"/>
      <w:r w:rsidDel="00000000" w:rsidR="00000000" w:rsidRPr="00000000">
        <w:rPr>
          <w:rtl w:val="0"/>
        </w:rPr>
        <w:t xml:space="preserve">Mountz and Hyndman refer to these overlooked groups of people in the relationship between scale as the “</w:t>
      </w:r>
      <w:r w:rsidDel="00000000" w:rsidR="00000000" w:rsidRPr="00000000">
        <w:rPr>
          <w:b w:val="1"/>
          <w:bCs w:val="1"/>
          <w:i w:val="1"/>
          <w:iCs w:val="1"/>
          <w:rtl w:val="0"/>
        </w:rPr>
        <w:t xml:space="preserve">global intimate,</w:t>
      </w:r>
      <w:r w:rsidDel="00000000" w:rsidR="00000000" w:rsidRPr="00000000">
        <w:rPr>
          <w:rtl w:val="0"/>
        </w:rPr>
        <w:t xml:space="preserve">” arguing that the everyday struggles stemming from globalization for them can oftentimes be ignored because of the benefits gained by the global majority.  Following this logic, although they acknowledge the benefits of increased interconnectedness, Hyndman and Mountz share a leery sentiment about the merging cultural and social norms brought on by globalism, feeling it can leave some individuals behind in the dust.  Massey also touches on the mixed results </w:t>
      </w:r>
      <w:r w:rsidDel="00000000" w:rsidR="00000000" w:rsidRPr="00000000">
        <w:rPr>
          <w:b w:val="1"/>
          <w:bCs w:val="1"/>
          <w:rtl w:val="0"/>
        </w:rPr>
        <w:t xml:space="preserve">space, place, and gender</w:t>
      </w:r>
      <w:r w:rsidDel="00000000" w:rsidR="00000000" w:rsidRPr="00000000">
        <w:rPr>
          <w:rtl w:val="0"/>
        </w:rPr>
        <w:t xml:space="preserve"> can have on different groups when discussing </w:t>
      </w:r>
      <w:r w:rsidDel="00000000" w:rsidR="00000000" w:rsidRPr="00000000">
        <w:rPr>
          <w:b w:val="1"/>
          <w:bCs w:val="1"/>
          <w:rtl w:val="0"/>
        </w:rPr>
        <w:t xml:space="preserve">time-space compression theory</w:t>
      </w:r>
      <w:r w:rsidDel="00000000" w:rsidR="00000000" w:rsidRPr="00000000">
        <w:rPr>
          <w:rtl w:val="0"/>
        </w:rPr>
        <w:t xml:space="preserve">.  A great example she discusses is how air travel has facilitated international business, allowing certain people and regions to gain unprecedented growth and join the globalized world, while in the same breath also further isolating already poor island communities.  In other words, and in true capitalist fashion, the rich get richer while the poor get poorer, which is not thrilling to Massey.  Friedman uses history and imagery as examples to make his case, describing his trip to India by comparing it to the one of Christopher Columbus’ famous voyage from years ago.  Using the phrase “</w:t>
      </w:r>
      <w:r w:rsidDel="00000000" w:rsidR="00000000" w:rsidRPr="00000000">
        <w:rPr>
          <w:b w:val="1"/>
          <w:bCs w:val="1"/>
          <w:rtl w:val="0"/>
        </w:rPr>
        <w:t xml:space="preserve">the world is flat</w:t>
      </w:r>
      <w:r w:rsidDel="00000000" w:rsidR="00000000" w:rsidRPr="00000000">
        <w:rPr>
          <w:rtl w:val="0"/>
        </w:rPr>
        <w:t xml:space="preserve">” as both the title and closing line sets a tone of hesitant pessimism throughout the article.  What exactly does he mean by “the world is flat” one may ask? By the end, it becomes evident that Friedman’s view on globalization has been changed for the worst as the lack of cultural diversity he sees not only shocks him but concerns him.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