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rtl w:val="0"/>
        </w:rPr>
        <w:t xml:space="preserve">The Bretton Woods Trio: Terrific or Terrible?</w:t>
      </w:r>
    </w:p>
    <w:p w:rsidR="00000000" w:rsidDel="00000000" w:rsidP="00000000" w:rsidRDefault="00000000" w:rsidRPr="00000000" w14:paraId="00000002">
      <w:pPr>
        <w:spacing w:line="480" w:lineRule="auto"/>
        <w:rPr/>
      </w:pPr>
      <w:r w:rsidDel="00000000" w:rsidR="00000000" w:rsidRPr="00000000">
        <w:rPr>
          <w:rtl w:val="0"/>
        </w:rPr>
        <w:tab/>
        <w:t xml:space="preserve">Coming out of the Great Depression and World War Two, the structure of the international economy was faced with uncertainty never before seen in the history of the globalized world.  This issue prompted world leaders of 44 states to come together and hold the Bretton Woods Conference in 1944, leading to the creation of international institutions such as the International Monetary Fund, the World Bank, and the World Trade Organization to police the global economy and promote prosperity among all nations.  These organizations were tasked with influencing the economy on a macrolevel through the use of monetary policy, which was a degree of intervention not present in Western Laissez Faire values prior.  Keynesianism became the term coined for these interventionist measures (named after John </w:t>
      </w:r>
      <w:r w:rsidDel="00000000" w:rsidR="00000000" w:rsidRPr="00000000">
        <w:rPr>
          <w:b w:val="1"/>
          <w:bCs w:val="1"/>
          <w:rtl w:val="0"/>
        </w:rPr>
        <w:t xml:space="preserve">Maynard Keynes), and while the implications and degree of legitimacy of the Bretton Woods Trio has often been hotly debated over the years, it has become evident that institutions such as these are here to stay.</w:t>
      </w:r>
      <w:r w:rsidDel="00000000" w:rsidR="00000000" w:rsidRPr="00000000">
        <w:rPr>
          <w:rtl w:val="0"/>
        </w:rPr>
      </w:r>
    </w:p>
    <w:p w:rsidR="00000000" w:rsidDel="00000000" w:rsidP="00000000" w:rsidRDefault="00000000" w:rsidRPr="00000000" w14:paraId="00000003">
      <w:pPr>
        <w:spacing w:line="480" w:lineRule="auto"/>
        <w:rPr/>
      </w:pPr>
      <w:bookmarkStart w:colFirst="0" w:colLast="0" w:name="_pn6bx7aj8ouf" w:id="0"/>
      <w:bookmarkEnd w:id="0"/>
      <w:r w:rsidDel="00000000" w:rsidR="00000000" w:rsidRPr="00000000">
        <w:rPr>
          <w:rtl w:val="0"/>
        </w:rPr>
        <w:tab/>
        <w:t xml:space="preserve">All in all, therefore, the question becomes </w:t>
      </w:r>
      <w:r w:rsidDel="00000000" w:rsidR="00000000" w:rsidRPr="00000000">
        <w:rPr>
          <w:b w:val="1"/>
          <w:bCs w:val="1"/>
          <w:rtl w:val="0"/>
        </w:rPr>
        <w:t xml:space="preserve">is the liberalized trade and investment brought on by the Bretton Woods Trio truly worth the harm they also do to certain groups, specifically post-colonial states and women?</w:t>
      </w:r>
      <w:r w:rsidDel="00000000" w:rsidR="00000000" w:rsidRPr="00000000">
        <w:rPr>
          <w:rtl w:val="0"/>
        </w:rPr>
        <w:t xml:space="preserve">  As Ellwood argues, the root of the issue with these large-scale international bodies is that they are typically ran by the nations which first brought them into being, only further securing their foothold in the world decision-making process.  In addition, they are not isolated from the influence of private entities within the formerly mentioned powerful states, leaving them vulnerable to collusion.  Of the three institutions emerging from Bretton Woods, and as especially highlighted in the AWID piece, the World Bank has been most directly criticized in regard to its legitimacy.  With most of its action consisting on lending, development research and economic analysis, and technical assistance in hopes of creating economic growth and stability in the long-run.  Unfortunately, with “over 50% of total votes” on its board held by 8 Western countries, </w:t>
      </w:r>
      <w:r w:rsidDel="00000000" w:rsidR="00000000" w:rsidRPr="00000000">
        <w:rPr>
          <w:b w:val="1"/>
          <w:bCs w:val="1"/>
          <w:rtl w:val="0"/>
        </w:rPr>
        <w:t xml:space="preserve">both developing nations (who need the funds the most) and women (suffering negatively from Bank’s structural adjustment policies) are grossly underrepresented.</w:t>
      </w:r>
      <w:r w:rsidDel="00000000" w:rsidR="00000000" w:rsidRPr="00000000">
        <w:rPr>
          <w:rtl w:val="0"/>
        </w:rPr>
        <w:t xml:space="preserve">  In conclusion, as the world moves further into the era of global international institutions as a tool to spur growth and development, we must remember to keep in mind not only the winners, but also those who are losing out.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