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b w:val="1"/>
          <w:bCs w:val="1"/>
          <w:rtl w:val="0"/>
        </w:rPr>
        <w:t xml:space="preserve">Final Essay #1</w:t>
      </w:r>
    </w:p>
    <w:p w:rsidR="00000000" w:rsidDel="00000000" w:rsidP="00000000" w:rsidRDefault="00000000" w:rsidRPr="00000000" w14:paraId="00000002">
      <w:pPr>
        <w:spacing w:line="480" w:lineRule="auto"/>
        <w:rPr/>
      </w:pPr>
      <w:bookmarkStart w:colFirst="0" w:colLast="0" w:name="_ujhhlb40uklg" w:id="0"/>
      <w:bookmarkEnd w:id="0"/>
      <w:r w:rsidDel="00000000" w:rsidR="00000000" w:rsidRPr="00000000">
        <w:rPr>
          <w:rtl w:val="0"/>
        </w:rPr>
        <w:tab/>
        <w:t xml:space="preserve">In the highly interconnected world of today, international organizations (IOs) play a larger role than ever before, providing a forum for states to freely express ideas opinions on which policies should be enacted in order to ensure widespread prosperity and economic security for people everywhere.  While this task is seemingly simple, a major problem policymakers run into is finding the delicate balance between effective governance on both the local and the global level while still allowing nations to maintain the domestic sovereignty they cherish so much.  The international political economy is where this equilibrium tends to be challenged most, as institutions such as the International Monetary Fund (IMF) and World Bank (WB) are primarily led by developed, Western states that give little input to the very countries they are seeking to spur long-term growth in.  Therefore, in order to tailor the most effective strategy for global economic and political success and stability in the long run, nations must continue working together through non-governmental organizations (NGOs) and IOs alike as both a forum to exchange ideas and a platform to plan for the future.</w:t>
      </w:r>
    </w:p>
    <w:p w:rsidR="00000000" w:rsidDel="00000000" w:rsidP="00000000" w:rsidRDefault="00000000" w:rsidRPr="00000000" w14:paraId="00000003">
      <w:pPr>
        <w:spacing w:line="480" w:lineRule="auto"/>
        <w:rPr/>
      </w:pPr>
      <w:r w:rsidDel="00000000" w:rsidR="00000000" w:rsidRPr="00000000">
        <w:rPr>
          <w:rtl w:val="0"/>
        </w:rPr>
        <w:t xml:space="preserve">    To the common observer, the notion of large-scale supranational institutions serving as arenas for states to act is not a new or uncommon concept, but what most don’t realize is they are also reflections of state power, which is referred to as realism in international relations spheres.  A great example of an organization where this school of thought is applied is the World Bank, as voting power is unevenly dispersed between eight Western states, over 50%, with the United States itself possessing over 15% of the share.  That means a measly minority is left to be distributed among the remaining 181 member-states, leaving little-to-no room to influence the economic policies that are, in many cases, entirely geared towards helping them.  Therefore, when these rigid austerity measures fail it leads to an issue not only for the states reliant on them for growth but the entire globe.  This is due to the fact when countries default on loans you begin to see debt crisis’ similar to the one persisting in Europe following the 2008 recession, where nations end up in an endless cycle of swapping the resulting liability that inevitably is never going to get paid back.</w:t>
      </w:r>
    </w:p>
    <w:p w:rsidR="00000000" w:rsidDel="00000000" w:rsidP="00000000" w:rsidRDefault="00000000" w:rsidRPr="00000000" w14:paraId="00000004">
      <w:pPr>
        <w:spacing w:line="480" w:lineRule="auto"/>
        <w:rPr/>
      </w:pPr>
      <w:r w:rsidDel="00000000" w:rsidR="00000000" w:rsidRPr="00000000">
        <w:rPr>
          <w:rtl w:val="0"/>
        </w:rPr>
        <w:t xml:space="preserve">Henceforth, a key condition for successful global governance is the ability to form policies that not only fit the mold for the wealthy, developed states that created them, but also for the low-to-middle incomes that rely on them.  When this is accomplished, despite common misconceptions, everyone reaps the economic benefits as growth and development are spurred across the board.  With a higher overall level of prosperity in these developing nations, larger numbers of citizens are able to contribute, whether it be from the better job opportunities available to them or the greater disposable income that results, meaning a healthier domestic GDP is garnered and gains in the global macroeconomy from increased investment and spending on the international state becomes capable on a scale not before possible for the state.  In conclusion, successful global governance comes from an understanding of not only the big picture but the intimate level where cookie-cutter policies may not always be effective.  Therefore, when this insight and understanding of each unique country’s culture and economic values are used in culmination with courses of actions that have worked for others in the past, a personalized policy can be formed that benefits all involved in global trade.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