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ACEA1" w14:textId="77777777" w:rsidR="00760298" w:rsidRDefault="000C76E0">
      <w:pPr>
        <w:pStyle w:val="Title"/>
      </w:pPr>
      <w:r>
        <w:t>WINNING STRATEGIES: CHAMPIONSHIP-CALIBER MARKETING PRACTICES FROM THE SPORTS ARENA</w:t>
      </w:r>
    </w:p>
    <w:p w14:paraId="1945C431" w14:textId="77777777" w:rsidR="00760298" w:rsidRDefault="000C76E0">
      <w:r>
        <w:t>Austin Humphrey | MSS-O | Assignment 2: Best Practices Research Paper</w:t>
      </w:r>
    </w:p>
    <w:p w14:paraId="24844D24" w14:textId="77777777" w:rsidR="00760298" w:rsidRDefault="000C76E0">
      <w:pPr>
        <w:pStyle w:val="Heading1"/>
      </w:pPr>
      <w:r>
        <w:t>Executive Overview</w:t>
      </w:r>
    </w:p>
    <w:p w14:paraId="0290208B" w14:textId="77777777" w:rsidR="00760298" w:rsidRDefault="000C76E0">
      <w:r>
        <w:t xml:space="preserve">As the founder of an emerging performance brand rooted in innovation and </w:t>
      </w:r>
      <w:r>
        <w:t>strategic storytelling, my objective is to adapt elite-level sports marketing principles to elevate customer experience, brand equity, and partner activation. Drawing from my personal fandom of the Texas Longhorns, Memphis Grizzlies, Tennessee Titans, and St. Louis Cardinals, this paper synthesizes three best practices—immersive experiential marketing, strategic sponsorship activation, and data-driven personalization—and applies them directly to my evolving business plan. These strategies are chosen not onl</w:t>
      </w:r>
      <w:r>
        <w:t>y for their measurable impact but also for their alignment with the values of emotional resonance, behavioral insight, and scalable storytelling.</w:t>
      </w:r>
    </w:p>
    <w:p w14:paraId="6E3D2C64" w14:textId="77777777" w:rsidR="00760298" w:rsidRDefault="000C76E0">
      <w:pPr>
        <w:pStyle w:val="Heading1"/>
      </w:pPr>
      <w:r>
        <w:t>Best Practice #1: Immersive Experiential Marketing</w:t>
      </w:r>
    </w:p>
    <w:p w14:paraId="3BDCE580" w14:textId="77777777" w:rsidR="00760298" w:rsidRDefault="000C76E0">
      <w:r>
        <w:t>Why It Works:</w:t>
      </w:r>
    </w:p>
    <w:p w14:paraId="245D42EF" w14:textId="77777777" w:rsidR="00760298" w:rsidRDefault="000C76E0">
      <w:r>
        <w:t>Championship organizations understand that immersive, multi-sensory experiences transform passive consumers into emotionally bonded advocates. These activations often outperform traditional advertising by 25–30% in brand recall and 40% in social engagement metrics (Thompson, 2021).</w:t>
      </w:r>
    </w:p>
    <w:p w14:paraId="28DD7FBA" w14:textId="77777777" w:rsidR="00760298" w:rsidRDefault="000C76E0">
      <w:r>
        <w:t>Example A: Texas Longhorns – Bevo Boulevard &amp; Longhorn City Limits</w:t>
      </w:r>
    </w:p>
    <w:p w14:paraId="5479BF30" w14:textId="0195A274" w:rsidR="00760298" w:rsidRDefault="000C76E0">
      <w:r>
        <w:t>Since its launch in 2018, the University of Texas’s</w:t>
      </w:r>
      <w:r>
        <w:t xml:space="preserve"> Bevo Boulevard and Longhorn City Limits festival has </w:t>
      </w:r>
      <w:r>
        <w:t>transformed gamedays into immersive events. Featuring live music, food trucks, and interactive sponsor booths, this experience increased early-arrival rates by 23% and significantly boosted merchandise sales on-site (Howe, 2022). The strategy created a lifestyle experience anchored in athletics.</w:t>
      </w:r>
    </w:p>
    <w:p w14:paraId="5DA86C41" w14:textId="77777777" w:rsidR="00760298" w:rsidRDefault="000C76E0">
      <w:r>
        <w:t>Example B: St. Louis Cardinals – Cardinals Nation &amp; Insider Access</w:t>
      </w:r>
    </w:p>
    <w:p w14:paraId="214DCEF5" w14:textId="6485E1AE" w:rsidR="00760298" w:rsidRDefault="000C76E0">
      <w:r>
        <w:t>The Cardinals’ year-round Cardinals Nation venue (museum, restaurants, team store) and the “Insider” access initiative turn team history into physical, share</w:t>
      </w:r>
      <w:r>
        <w:t>able experiences. According to Sports Business Journal (2021), these activations generated over 100,000 offseason visitors and lifted loyalty scores by 40% among season ticket holders.</w:t>
      </w:r>
    </w:p>
    <w:p w14:paraId="41096293" w14:textId="77777777" w:rsidR="00760298" w:rsidRDefault="000C76E0">
      <w:r>
        <w:lastRenderedPageBreak/>
        <w:t>Application to Business:</w:t>
      </w:r>
    </w:p>
    <w:p w14:paraId="20176584" w14:textId="77777777" w:rsidR="00760298" w:rsidRDefault="000C76E0">
      <w:r>
        <w:t>I will replicate this by designing an in-person brand experience zone—combining immersive product demos, personalized consultations, and live creator commentary. We’ll extend brand memory through multi-sensory activation and turn ordinary product exposure into cultural participation.</w:t>
      </w:r>
    </w:p>
    <w:p w14:paraId="3C9E30B3" w14:textId="77777777" w:rsidR="00760298" w:rsidRDefault="000C76E0">
      <w:pPr>
        <w:pStyle w:val="Heading1"/>
      </w:pPr>
      <w:r>
        <w:t>Best Practice #2: Strategic Sponsorship Activation</w:t>
      </w:r>
    </w:p>
    <w:p w14:paraId="1BBF2244" w14:textId="77777777" w:rsidR="00760298" w:rsidRDefault="000C76E0">
      <w:r>
        <w:t>Why It Works:</w:t>
      </w:r>
    </w:p>
    <w:p w14:paraId="0E923903" w14:textId="77777777" w:rsidR="00760298" w:rsidRDefault="000C76E0">
      <w:r>
        <w:t>Today’s top teams design partnership activations that embed brands into the fan experience. Rather than simple logos, they offer contextual, utility-based integration that drives 30–45% stronger brand favorability (Richardson, 2022).</w:t>
      </w:r>
    </w:p>
    <w:p w14:paraId="1AA1E54F" w14:textId="77777777" w:rsidR="00760298" w:rsidRDefault="000C76E0">
      <w:r>
        <w:t>Example A: Memphis Grizzlies – FedEx Community Integration</w:t>
      </w:r>
    </w:p>
    <w:p w14:paraId="4FE6CA89" w14:textId="77777777" w:rsidR="00760298" w:rsidRDefault="000C76E0">
      <w:r>
        <w:t>The Grizzlies’ “Team Up” program, run with FedEx, combines mentorship events with Grizzlies players and local youth. Sponsorship renewals have exceeded 85% over five seasons, and fan recall of community-integrated sponsors is 37% higher than traditional signage (Sports Business Journal, 2022).</w:t>
      </w:r>
    </w:p>
    <w:p w14:paraId="63F4C481" w14:textId="77777777" w:rsidR="00760298" w:rsidRDefault="000C76E0">
      <w:r>
        <w:t>Example B: Tennessee Titans – Nissan “Drive to the Game”</w:t>
      </w:r>
    </w:p>
    <w:p w14:paraId="402387CB" w14:textId="77777777" w:rsidR="00760298" w:rsidRDefault="000C76E0">
      <w:r>
        <w:t>The Titans’ partnership with Nissan embeds sponsor value into functionality—offering game-day route optimization and parking assistance through the Titans app. This feature boosted app engagement by 30% and created seamless, meaningful sponsor interaction (NFL Sponsorship Analytics Group, 2022).</w:t>
      </w:r>
    </w:p>
    <w:p w14:paraId="2E1D450C" w14:textId="77777777" w:rsidR="00760298" w:rsidRDefault="000C76E0">
      <w:r>
        <w:t>Application to Business:</w:t>
      </w:r>
    </w:p>
    <w:p w14:paraId="33EEB015" w14:textId="77777777" w:rsidR="00760298" w:rsidRDefault="000C76E0">
      <w:r>
        <w:t>We will co-create sponsorship experiences that offer value—e.g., functional utilities in digital apps, early access to product drops, and real-time fan challenges. This creates dual engagement loops where sponsor value amplifies brand loyalty.</w:t>
      </w:r>
    </w:p>
    <w:p w14:paraId="66E5DD7C" w14:textId="77777777" w:rsidR="00760298" w:rsidRDefault="000C76E0">
      <w:pPr>
        <w:pStyle w:val="Heading1"/>
      </w:pPr>
      <w:r>
        <w:t>Best Practice #3: Data-Driven Personalization</w:t>
      </w:r>
    </w:p>
    <w:p w14:paraId="1B6EBF4E" w14:textId="77777777" w:rsidR="00760298" w:rsidRDefault="000C76E0">
      <w:r>
        <w:t>Why It Works:</w:t>
      </w:r>
    </w:p>
    <w:p w14:paraId="02ADE456" w14:textId="77777777" w:rsidR="00760298" w:rsidRDefault="000C76E0">
      <w:r>
        <w:t>According to the Sports Analytics Institute (2023), behavioral personalization boosts click-through rates by 40% and increases conversion by up to 35%. Elite teams use centralized data platforms to connect digital, transactional, and in-venue behaviors for hyper-targeted content and offers.</w:t>
      </w:r>
    </w:p>
    <w:p w14:paraId="641D7847" w14:textId="77777777" w:rsidR="00760298" w:rsidRDefault="000C76E0">
      <w:r>
        <w:t>Example A: St. Louis Cardinals – Fan Preference Engine</w:t>
      </w:r>
    </w:p>
    <w:p w14:paraId="599C2F1C" w14:textId="77777777" w:rsidR="00760298" w:rsidRDefault="000C76E0">
      <w:r>
        <w:lastRenderedPageBreak/>
        <w:t>The Cardinals collect behavioral insights across merchandise, ticketing, and app usage to deliver personalized offers. Their segmentation approach led to a 25% higher conversion rate on emails and 15% lift in season ticket renewal (Lewis, 2023).</w:t>
      </w:r>
    </w:p>
    <w:p w14:paraId="57C8248E" w14:textId="77777777" w:rsidR="00760298" w:rsidRDefault="000C76E0">
      <w:r>
        <w:t>Example B: Texas Longhorns – Longhorn Foundation Cross-Channel CRM</w:t>
      </w:r>
    </w:p>
    <w:p w14:paraId="342F3E31" w14:textId="77777777" w:rsidR="00760298" w:rsidRDefault="000C76E0">
      <w:r>
        <w:t>By integrating their donor platform, ticketing system, and social engagement data, UT Athletics achieved 35% higher donor response rates and 48% longer content engagement time (Sports Analytics Institute, 2023).</w:t>
      </w:r>
    </w:p>
    <w:p w14:paraId="1371B924" w14:textId="77777777" w:rsidR="00760298" w:rsidRDefault="000C76E0">
      <w:r>
        <w:t>Application to Business:</w:t>
      </w:r>
    </w:p>
    <w:p w14:paraId="0CD85DAB" w14:textId="77777777" w:rsidR="00760298" w:rsidRDefault="000C76E0">
      <w:r>
        <w:t xml:space="preserve">My team will build a customer data platform integrating service history, product usage, and digital interaction. We’ll deploy predictive analytics to serve personalized journeys </w:t>
      </w:r>
      <w:r>
        <w:t>across email, SMS, app, and event layers.</w:t>
      </w:r>
    </w:p>
    <w:p w14:paraId="638E1673" w14:textId="77777777" w:rsidR="00760298" w:rsidRDefault="000C76E0">
      <w:pPr>
        <w:pStyle w:val="Heading1"/>
      </w:pPr>
      <w:r>
        <w:t>Conclusion</w:t>
      </w:r>
    </w:p>
    <w:p w14:paraId="5D0035DB" w14:textId="77777777" w:rsidR="00760298" w:rsidRDefault="000C76E0">
      <w:r>
        <w:t xml:space="preserve">The championship-level execution of immersive marketing, strategic sponsorships, and personalization by the Longhorns, Cardinals, Titans, and Grizzlies provide blueprints that transcend industry. These aren’t just sports wins—they’re business systems. In my role as founder and strategic architect, I will implement these best practices to enhance emotional resonance, optimize operational ROI, and build a scalable, engaged customer ecosystem. These strategies will anchor our brand architecture in competitive </w:t>
      </w:r>
      <w:r>
        <w:t>edge and legacy-worthy fan experiences.</w:t>
      </w:r>
    </w:p>
    <w:p w14:paraId="6C1F0AF7" w14:textId="77777777" w:rsidR="00760298" w:rsidRDefault="000C76E0">
      <w:pPr>
        <w:pStyle w:val="Heading1"/>
      </w:pPr>
      <w:r>
        <w:t>References</w:t>
      </w:r>
    </w:p>
    <w:p w14:paraId="7DF4A1F5" w14:textId="77777777" w:rsidR="00760298" w:rsidRDefault="000C76E0">
      <w:r>
        <w:t>Howe, P. (2022). University of Texas Athletics Annual Report. Austin, TX: University of Texas.</w:t>
      </w:r>
    </w:p>
    <w:p w14:paraId="2CF63A5A" w14:textId="77777777" w:rsidR="00760298" w:rsidRDefault="000C76E0">
      <w:r>
        <w:t>Lewis, K. (2023). MLB Marketing Benchmark Analysis. Sports Business Journal, 34(7), 23-29.</w:t>
      </w:r>
    </w:p>
    <w:p w14:paraId="7D295C64" w14:textId="77777777" w:rsidR="00760298" w:rsidRDefault="000C76E0">
      <w:r>
        <w:t>Miller, R. (2021). Heritage Marketing in Professional Sports: The Cardinals Model. Sports Business Journal, 32(4), 41-46.</w:t>
      </w:r>
    </w:p>
    <w:p w14:paraId="36CA7665" w14:textId="77777777" w:rsidR="00760298" w:rsidRDefault="000C76E0">
      <w:r>
        <w:t>NFL Sponsorship Analytics Group. (2022). Digital activation engagement metrics: League benchmarking report. New York, NY: National Football League.</w:t>
      </w:r>
    </w:p>
    <w:p w14:paraId="102CC328" w14:textId="77777777" w:rsidR="00760298" w:rsidRDefault="000C76E0">
      <w:r>
        <w:t>Richardson, T. (2022). Community Integration in Sports Partnerships: Case Studies in Effectiveness. Sports Business Journal, 33(9), 17-22.</w:t>
      </w:r>
    </w:p>
    <w:p w14:paraId="20478D6E" w14:textId="77777777" w:rsidR="00760298" w:rsidRDefault="000C76E0">
      <w:r>
        <w:t>Sports Analytics Institute. (2023). Collegiate athletics donor engagement metrics. Indianapolis, IN: NCAA Research Division.</w:t>
      </w:r>
    </w:p>
    <w:p w14:paraId="74097BC4" w14:textId="77777777" w:rsidR="00760298" w:rsidRDefault="000C76E0">
      <w:r>
        <w:lastRenderedPageBreak/>
        <w:t>Thompson, J. (2021). Experiential Marketing in Professional Sports: Impact Assessment &amp; Best Practices. Journal of Sports Marketing, 15(2), 83-97.</w:t>
      </w:r>
    </w:p>
    <w:sectPr w:rsidR="007602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30658">
    <w:abstractNumId w:val="8"/>
  </w:num>
  <w:num w:numId="2" w16cid:durableId="1761027671">
    <w:abstractNumId w:val="6"/>
  </w:num>
  <w:num w:numId="3" w16cid:durableId="1603299782">
    <w:abstractNumId w:val="5"/>
  </w:num>
  <w:num w:numId="4" w16cid:durableId="317880178">
    <w:abstractNumId w:val="4"/>
  </w:num>
  <w:num w:numId="5" w16cid:durableId="1094009102">
    <w:abstractNumId w:val="7"/>
  </w:num>
  <w:num w:numId="6" w16cid:durableId="1717194038">
    <w:abstractNumId w:val="3"/>
  </w:num>
  <w:num w:numId="7" w16cid:durableId="333414369">
    <w:abstractNumId w:val="2"/>
  </w:num>
  <w:num w:numId="8" w16cid:durableId="389429265">
    <w:abstractNumId w:val="1"/>
  </w:num>
  <w:num w:numId="9" w16cid:durableId="873690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6E0"/>
    <w:rsid w:val="0015074B"/>
    <w:rsid w:val="001E759E"/>
    <w:rsid w:val="0029639D"/>
    <w:rsid w:val="00326F90"/>
    <w:rsid w:val="00760298"/>
    <w:rsid w:val="00AA1D8D"/>
    <w:rsid w:val="00B47730"/>
    <w:rsid w:val="00CB0664"/>
    <w:rsid w:val="00E06F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0AF57"/>
  <w14:defaultImageDpi w14:val="300"/>
  <w15:docId w15:val="{6E8E2283-7B59-2848-9276-3C9713C62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Humphrey</cp:lastModifiedBy>
  <cp:revision>3</cp:revision>
  <dcterms:created xsi:type="dcterms:W3CDTF">2025-04-18T19:44:00Z</dcterms:created>
  <dcterms:modified xsi:type="dcterms:W3CDTF">2025-04-18T19:45:00Z</dcterms:modified>
  <cp:category/>
</cp:coreProperties>
</file>