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B8B73" w14:textId="77777777" w:rsidR="00F65FC4" w:rsidRPr="00F65FC4" w:rsidRDefault="00F65FC4" w:rsidP="00F65FC4">
      <w:pPr>
        <w:spacing w:before="100" w:beforeAutospacing="1" w:after="150" w:line="240" w:lineRule="auto"/>
        <w:jc w:val="center"/>
        <w:outlineLvl w:val="0"/>
        <w:rPr>
          <w:rFonts w:ascii="Calibri" w:eastAsia="Times New Roman" w:hAnsi="Calibri" w:cs="Calibri"/>
          <w:b/>
          <w:bCs/>
          <w:color w:val="1E3A8A"/>
          <w:kern w:val="36"/>
          <w:sz w:val="48"/>
          <w:szCs w:val="48"/>
          <w14:ligatures w14:val="none"/>
        </w:rPr>
      </w:pPr>
      <w:r w:rsidRPr="00F65FC4">
        <w:rPr>
          <w:rFonts w:ascii="Calibri" w:eastAsia="Times New Roman" w:hAnsi="Calibri" w:cs="Calibri"/>
          <w:b/>
          <w:bCs/>
          <w:color w:val="1E3A8A"/>
          <w:kern w:val="36"/>
          <w:sz w:val="48"/>
          <w:szCs w:val="48"/>
          <w14:ligatures w14:val="none"/>
        </w:rPr>
        <w:t>The Walt Disney Company (DIS)</w:t>
      </w:r>
    </w:p>
    <w:p w14:paraId="27D18542" w14:textId="77777777" w:rsidR="00F65FC4" w:rsidRPr="00F65FC4" w:rsidRDefault="00F65FC4" w:rsidP="00F65FC4">
      <w:pPr>
        <w:spacing w:line="240" w:lineRule="auto"/>
        <w:jc w:val="center"/>
        <w:rPr>
          <w:rFonts w:ascii="Calibri" w:eastAsia="Times New Roman" w:hAnsi="Calibri" w:cs="Calibri"/>
          <w:i/>
          <w:iCs/>
          <w:color w:val="64748B"/>
          <w:kern w:val="0"/>
          <w:sz w:val="28"/>
          <w:szCs w:val="28"/>
          <w14:ligatures w14:val="none"/>
        </w:rPr>
      </w:pPr>
      <w:r w:rsidRPr="00F65FC4">
        <w:rPr>
          <w:rFonts w:ascii="Calibri" w:eastAsia="Times New Roman" w:hAnsi="Calibri" w:cs="Calibri"/>
          <w:i/>
          <w:iCs/>
          <w:color w:val="64748B"/>
          <w:kern w:val="0"/>
          <w:sz w:val="28"/>
          <w:szCs w:val="28"/>
          <w14:ligatures w14:val="none"/>
        </w:rPr>
        <w:t>Where Dreams Meet EBITDA: A Financial Pattern Recognition Analysis</w:t>
      </w:r>
    </w:p>
    <w:p w14:paraId="2BF1FD95" w14:textId="0DA4CE23" w:rsidR="00F65FC4" w:rsidRPr="00F65FC4" w:rsidRDefault="00F65FC4" w:rsidP="00F65FC4">
      <w:pPr>
        <w:spacing w:line="240" w:lineRule="auto"/>
        <w:jc w:val="right"/>
        <w:rPr>
          <w:rFonts w:ascii="Calibri" w:eastAsia="Times New Roman" w:hAnsi="Calibri" w:cs="Calibri"/>
          <w:color w:val="2C2C2C"/>
          <w:kern w:val="0"/>
          <w:sz w:val="22"/>
          <w:szCs w:val="22"/>
          <w14:ligatures w14:val="none"/>
        </w:rPr>
      </w:pPr>
      <w:r w:rsidRPr="00F65FC4">
        <w:rPr>
          <w:rFonts w:ascii="Calibri" w:eastAsia="Times New Roman" w:hAnsi="Calibri" w:cs="Calibri"/>
          <w:b/>
          <w:bCs/>
          <w:color w:val="2C2C2C"/>
          <w:kern w:val="0"/>
          <w:sz w:val="22"/>
          <w:szCs w:val="22"/>
          <w14:ligatures w14:val="none"/>
        </w:rPr>
        <w:t>Austin Humphrey</w:t>
      </w:r>
      <w:r w:rsidRPr="00F65FC4">
        <w:rPr>
          <w:rFonts w:ascii="Calibri" w:eastAsia="Times New Roman" w:hAnsi="Calibri" w:cs="Calibri"/>
          <w:color w:val="2C2C2C"/>
          <w:kern w:val="0"/>
          <w:sz w:val="22"/>
          <w:szCs w:val="22"/>
          <w14:ligatures w14:val="none"/>
        </w:rPr>
        <w:br/>
        <w:t>Entertainment Business Finance (GEB6508)</w:t>
      </w:r>
      <w:r w:rsidRPr="00F65FC4">
        <w:rPr>
          <w:rFonts w:ascii="Calibri" w:eastAsia="Times New Roman" w:hAnsi="Calibri" w:cs="Calibri"/>
          <w:color w:val="2C2C2C"/>
          <w:kern w:val="0"/>
          <w:sz w:val="22"/>
          <w:szCs w:val="22"/>
          <w14:ligatures w14:val="none"/>
        </w:rPr>
        <w:br/>
        <w:t>Full Sail University</w:t>
      </w:r>
      <w:r w:rsidRPr="00F65FC4">
        <w:rPr>
          <w:rFonts w:ascii="Calibri" w:eastAsia="Times New Roman" w:hAnsi="Calibri" w:cs="Calibri"/>
          <w:color w:val="2C2C2C"/>
          <w:kern w:val="0"/>
          <w:sz w:val="22"/>
          <w:szCs w:val="22"/>
          <w14:ligatures w14:val="none"/>
        </w:rPr>
        <w:br/>
        <w:t xml:space="preserve">Date: </w:t>
      </w:r>
      <w:r w:rsidR="00B77DF1">
        <w:rPr>
          <w:rFonts w:ascii="Calibri" w:eastAsia="Times New Roman" w:hAnsi="Calibri" w:cs="Calibri"/>
          <w:color w:val="2C2C2C"/>
          <w:kern w:val="0"/>
          <w:sz w:val="22"/>
          <w:szCs w:val="22"/>
          <w14:ligatures w14:val="none"/>
        </w:rPr>
        <w:t>June 4, 2025</w:t>
      </w:r>
    </w:p>
    <w:p w14:paraId="7D9A1757" w14:textId="77777777" w:rsidR="00F65FC4" w:rsidRPr="00F65FC4" w:rsidRDefault="00F65FC4" w:rsidP="00F65FC4">
      <w:pPr>
        <w:pBdr>
          <w:bottom w:val="single" w:sz="6" w:space="4" w:color="E5E7EB"/>
        </w:pBdr>
        <w:spacing w:before="450" w:after="225" w:line="240" w:lineRule="auto"/>
        <w:outlineLvl w:val="1"/>
        <w:rPr>
          <w:rFonts w:ascii="Calibri" w:eastAsia="Times New Roman" w:hAnsi="Calibri" w:cs="Calibri"/>
          <w:b/>
          <w:bCs/>
          <w:color w:val="1E3A8A"/>
          <w:kern w:val="0"/>
          <w:sz w:val="32"/>
          <w:szCs w:val="32"/>
          <w14:ligatures w14:val="none"/>
        </w:rPr>
      </w:pPr>
      <w:r w:rsidRPr="00F65FC4">
        <w:rPr>
          <w:rFonts w:ascii="Calibri" w:eastAsia="Times New Roman" w:hAnsi="Calibri" w:cs="Calibri"/>
          <w:b/>
          <w:bCs/>
          <w:color w:val="1E3A8A"/>
          <w:kern w:val="0"/>
          <w:sz w:val="32"/>
          <w:szCs w:val="32"/>
          <w14:ligatures w14:val="none"/>
        </w:rPr>
        <w:t>Company Background</w:t>
      </w:r>
    </w:p>
    <w:p w14:paraId="1B7E591F" w14:textId="77777777" w:rsidR="00F65FC4" w:rsidRPr="00F65FC4" w:rsidRDefault="00F65FC4" w:rsidP="00F65FC4">
      <w:pPr>
        <w:spacing w:before="100" w:beforeAutospacing="1" w:after="225" w:line="240" w:lineRule="auto"/>
        <w:jc w:val="both"/>
        <w:rPr>
          <w:rFonts w:ascii="Calibri" w:eastAsia="Times New Roman" w:hAnsi="Calibri" w:cs="Calibri"/>
          <w:color w:val="2C2C2C"/>
          <w:kern w:val="0"/>
          <w:sz w:val="27"/>
          <w:szCs w:val="27"/>
          <w14:ligatures w14:val="none"/>
        </w:rPr>
      </w:pPr>
      <w:r w:rsidRPr="00F65FC4">
        <w:rPr>
          <w:rFonts w:ascii="Calibri" w:eastAsia="Times New Roman" w:hAnsi="Calibri" w:cs="Calibri"/>
          <w:color w:val="2C2C2C"/>
          <w:kern w:val="0"/>
          <w:sz w:val="27"/>
          <w:szCs w:val="27"/>
          <w14:ligatures w14:val="none"/>
        </w:rPr>
        <w:t>Disney doesn't make movies. They manufacture nostalgia at scale, then charge you $159 to walk through it in Orlando. Founded in 1923 by two brothers and a mouse, The Walt Disney Company (NYSE: DIS) has evolved from hand-drawn cells to a $156 billion empire that owns your childhood, your Friday nights, and probably your future VR headset experiences.</w:t>
      </w:r>
    </w:p>
    <w:p w14:paraId="592DBF1F" w14:textId="77777777" w:rsidR="00F65FC4" w:rsidRPr="00F65FC4" w:rsidRDefault="00F65FC4" w:rsidP="00F65FC4">
      <w:pPr>
        <w:spacing w:before="100" w:beforeAutospacing="1" w:after="225" w:line="240" w:lineRule="auto"/>
        <w:jc w:val="both"/>
        <w:rPr>
          <w:rFonts w:ascii="Calibri" w:eastAsia="Times New Roman" w:hAnsi="Calibri" w:cs="Calibri"/>
          <w:color w:val="2C2C2C"/>
          <w:kern w:val="0"/>
          <w:sz w:val="27"/>
          <w:szCs w:val="27"/>
          <w14:ligatures w14:val="none"/>
        </w:rPr>
      </w:pPr>
      <w:r w:rsidRPr="00F65FC4">
        <w:rPr>
          <w:rFonts w:ascii="Calibri" w:eastAsia="Times New Roman" w:hAnsi="Calibri" w:cs="Calibri"/>
          <w:color w:val="2C2C2C"/>
          <w:kern w:val="0"/>
          <w:sz w:val="27"/>
          <w:szCs w:val="27"/>
          <w14:ligatures w14:val="none"/>
        </w:rPr>
        <w:t>Here's the genius: They turned a cartoon rodent into intellectual property worth more than most nations' GDP. Revenue streams cascade through Parks &amp; Experiences ($32.5B), Entertainment ($40.6B), Sports ($17.1B via ESPN), and Streaming ($19.2B). They don't sell products—they sell permission to feel five years old again, and Wall Street pays a 75x multiple for that alchemy.</w:t>
      </w:r>
    </w:p>
    <w:p w14:paraId="4B09DF54" w14:textId="77777777" w:rsidR="00F65FC4" w:rsidRPr="00F65FC4" w:rsidRDefault="00F65FC4" w:rsidP="00F65FC4">
      <w:pPr>
        <w:spacing w:before="100" w:beforeAutospacing="1" w:after="225" w:line="240" w:lineRule="auto"/>
        <w:jc w:val="both"/>
        <w:rPr>
          <w:rFonts w:ascii="Calibri" w:eastAsia="Times New Roman" w:hAnsi="Calibri" w:cs="Calibri"/>
          <w:color w:val="2C2C2C"/>
          <w:kern w:val="0"/>
          <w:sz w:val="27"/>
          <w:szCs w:val="27"/>
          <w14:ligatures w14:val="none"/>
        </w:rPr>
      </w:pPr>
      <w:r w:rsidRPr="00F65FC4">
        <w:rPr>
          <w:rFonts w:ascii="Calibri" w:eastAsia="Times New Roman" w:hAnsi="Calibri" w:cs="Calibri"/>
          <w:color w:val="2C2C2C"/>
          <w:kern w:val="0"/>
          <w:sz w:val="27"/>
          <w:szCs w:val="27"/>
          <w14:ligatures w14:val="none"/>
        </w:rPr>
        <w:t>The paradox? Disney is simultaneously the most magical corporation and the most corporate magic. Bob Iger didn't return from retirement to spread pixie dust—he came back to turn Disney+ from a $4 billion annual bleed into a profit machine. Because in Burbank, even dreams have hurdle rates.</w:t>
      </w:r>
    </w:p>
    <w:p w14:paraId="54C975E7" w14:textId="77777777" w:rsidR="00F65FC4" w:rsidRPr="00F65FC4" w:rsidRDefault="00F65FC4" w:rsidP="00F65FC4">
      <w:pPr>
        <w:pBdr>
          <w:bottom w:val="single" w:sz="6" w:space="4" w:color="E5E7EB"/>
        </w:pBdr>
        <w:spacing w:before="450" w:after="225" w:line="240" w:lineRule="auto"/>
        <w:outlineLvl w:val="1"/>
        <w:rPr>
          <w:rFonts w:ascii="Calibri" w:eastAsia="Times New Roman" w:hAnsi="Calibri" w:cs="Calibri"/>
          <w:b/>
          <w:bCs/>
          <w:color w:val="1E3A8A"/>
          <w:kern w:val="0"/>
          <w:sz w:val="32"/>
          <w:szCs w:val="32"/>
          <w14:ligatures w14:val="none"/>
        </w:rPr>
      </w:pPr>
      <w:r w:rsidRPr="00F65FC4">
        <w:rPr>
          <w:rFonts w:ascii="Calibri" w:eastAsia="Times New Roman" w:hAnsi="Calibri" w:cs="Calibri"/>
          <w:b/>
          <w:bCs/>
          <w:color w:val="1E3A8A"/>
          <w:kern w:val="0"/>
          <w:sz w:val="32"/>
          <w:szCs w:val="32"/>
          <w14:ligatures w14:val="none"/>
        </w:rPr>
        <w:t>Financial Ratio Analysis</w:t>
      </w:r>
    </w:p>
    <w:p w14:paraId="4FBCF755" w14:textId="77777777" w:rsidR="00F65FC4" w:rsidRPr="00F65FC4" w:rsidRDefault="00F65FC4" w:rsidP="00F65FC4">
      <w:pPr>
        <w:spacing w:line="240" w:lineRule="auto"/>
        <w:rPr>
          <w:rFonts w:ascii="Calibri" w:eastAsia="Times New Roman" w:hAnsi="Calibri" w:cs="Calibri"/>
          <w:b/>
          <w:bCs/>
          <w:caps/>
          <w:color w:val="0F172A"/>
          <w:spacing w:val="15"/>
          <w:kern w:val="0"/>
          <w:sz w:val="28"/>
          <w:szCs w:val="28"/>
          <w14:ligatures w14:val="none"/>
        </w:rPr>
      </w:pPr>
      <w:r w:rsidRPr="00F65FC4">
        <w:rPr>
          <w:rFonts w:ascii="Calibri" w:eastAsia="Times New Roman" w:hAnsi="Calibri" w:cs="Calibri"/>
          <w:b/>
          <w:bCs/>
          <w:caps/>
          <w:color w:val="0F172A"/>
          <w:spacing w:val="15"/>
          <w:kern w:val="0"/>
          <w:sz w:val="28"/>
          <w:szCs w:val="28"/>
          <w14:ligatures w14:val="none"/>
        </w:rPr>
        <w:t>Liquidity Ratios</w:t>
      </w:r>
    </w:p>
    <w:p w14:paraId="1F695E9C" w14:textId="77777777" w:rsidR="00F65FC4" w:rsidRPr="00F65FC4" w:rsidRDefault="00F65FC4" w:rsidP="00F65FC4">
      <w:pPr>
        <w:shd w:val="clear" w:color="auto" w:fill="F8FAFC"/>
        <w:spacing w:after="75" w:line="240" w:lineRule="auto"/>
        <w:rPr>
          <w:rFonts w:ascii="Calibri" w:eastAsia="Times New Roman" w:hAnsi="Calibri" w:cs="Calibri"/>
          <w:b/>
          <w:bCs/>
          <w:color w:val="1E3A8A"/>
          <w:kern w:val="0"/>
          <w:sz w:val="26"/>
          <w:szCs w:val="26"/>
          <w14:ligatures w14:val="none"/>
        </w:rPr>
      </w:pPr>
      <w:r w:rsidRPr="00F65FC4">
        <w:rPr>
          <w:rFonts w:ascii="Calibri" w:eastAsia="Times New Roman" w:hAnsi="Calibri" w:cs="Calibri"/>
          <w:b/>
          <w:bCs/>
          <w:color w:val="1E3A8A"/>
          <w:kern w:val="0"/>
          <w:sz w:val="26"/>
          <w:szCs w:val="26"/>
          <w14:ligatures w14:val="none"/>
        </w:rPr>
        <w:t>Current Ratio</w:t>
      </w:r>
    </w:p>
    <w:p w14:paraId="285F3B46" w14:textId="77777777" w:rsidR="00F65FC4" w:rsidRPr="00F65FC4" w:rsidRDefault="00F65FC4" w:rsidP="00F65FC4">
      <w:pPr>
        <w:shd w:val="clear" w:color="auto" w:fill="F8FAFC"/>
        <w:spacing w:after="75" w:line="240" w:lineRule="auto"/>
        <w:rPr>
          <w:rFonts w:ascii="Calibri" w:eastAsia="Times New Roman" w:hAnsi="Calibri" w:cs="Calibri"/>
          <w:i/>
          <w:iCs/>
          <w:color w:val="64748B"/>
          <w:kern w:val="0"/>
          <w:sz w:val="20"/>
          <w:szCs w:val="20"/>
          <w14:ligatures w14:val="none"/>
        </w:rPr>
      </w:pPr>
      <w:r w:rsidRPr="00F65FC4">
        <w:rPr>
          <w:rFonts w:ascii="Calibri" w:eastAsia="Times New Roman" w:hAnsi="Calibri" w:cs="Calibri"/>
          <w:i/>
          <w:iCs/>
          <w:color w:val="64748B"/>
          <w:kern w:val="0"/>
          <w:sz w:val="20"/>
          <w:szCs w:val="20"/>
          <w14:ligatures w14:val="none"/>
        </w:rPr>
        <w:t>Formula: Current Assets ÷ Current Liabilities</w:t>
      </w:r>
    </w:p>
    <w:p w14:paraId="6871B389" w14:textId="77777777" w:rsidR="00F65FC4" w:rsidRPr="00F65FC4" w:rsidRDefault="00F65FC4" w:rsidP="00F65FC4">
      <w:pPr>
        <w:shd w:val="clear" w:color="auto" w:fill="F8FAFC"/>
        <w:spacing w:after="150" w:line="240" w:lineRule="auto"/>
        <w:rPr>
          <w:rFonts w:ascii="Calibri" w:eastAsia="Times New Roman" w:hAnsi="Calibri" w:cs="Calibri"/>
          <w:b/>
          <w:bCs/>
          <w:color w:val="2C2C2C"/>
          <w:kern w:val="0"/>
          <w:sz w:val="27"/>
          <w:szCs w:val="27"/>
          <w14:ligatures w14:val="none"/>
        </w:rPr>
      </w:pPr>
      <w:r w:rsidRPr="00F65FC4">
        <w:rPr>
          <w:rFonts w:ascii="Calibri" w:eastAsia="Times New Roman" w:hAnsi="Calibri" w:cs="Calibri"/>
          <w:b/>
          <w:bCs/>
          <w:color w:val="2C2C2C"/>
          <w:kern w:val="0"/>
          <w:sz w:val="27"/>
          <w:szCs w:val="27"/>
          <w14:ligatures w14:val="none"/>
        </w:rPr>
        <w:t>2023: $23,436M ÷ $27,921M = 0.84</w:t>
      </w:r>
      <w:r w:rsidRPr="00F65FC4">
        <w:rPr>
          <w:rFonts w:ascii="Calibri" w:eastAsia="Times New Roman" w:hAnsi="Calibri" w:cs="Calibri"/>
          <w:b/>
          <w:bCs/>
          <w:color w:val="2C2C2C"/>
          <w:kern w:val="0"/>
          <w:sz w:val="27"/>
          <w:szCs w:val="27"/>
          <w14:ligatures w14:val="none"/>
        </w:rPr>
        <w:br/>
        <w:t>2022: $29,098M ÷ $27,679M = 1.05</w:t>
      </w:r>
    </w:p>
    <w:p w14:paraId="6D017711" w14:textId="77777777" w:rsidR="00F65FC4" w:rsidRPr="00F65FC4" w:rsidRDefault="00F65FC4" w:rsidP="00F65FC4">
      <w:pPr>
        <w:shd w:val="clear" w:color="auto" w:fill="F8FAFC"/>
        <w:spacing w:line="240" w:lineRule="auto"/>
        <w:rPr>
          <w:rFonts w:ascii="Calibri" w:eastAsia="Times New Roman" w:hAnsi="Calibri" w:cs="Calibri"/>
          <w:color w:val="2C2C2C"/>
          <w:kern w:val="0"/>
          <w:sz w:val="27"/>
          <w:szCs w:val="27"/>
          <w14:ligatures w14:val="none"/>
        </w:rPr>
      </w:pPr>
      <w:r w:rsidRPr="00F65FC4">
        <w:rPr>
          <w:rFonts w:ascii="Calibri" w:eastAsia="Times New Roman" w:hAnsi="Calibri" w:cs="Calibri"/>
          <w:color w:val="2C2C2C"/>
          <w:kern w:val="0"/>
          <w:sz w:val="27"/>
          <w:szCs w:val="27"/>
          <w14:ligatures w14:val="none"/>
        </w:rPr>
        <w:t xml:space="preserve">Like a linebacker caught in play-action, Disney's running lean. That sub-1.0 ratio? It's not weakness—it's confidence. When you can predict cash flows down to which </w:t>
      </w:r>
      <w:r w:rsidRPr="00F65FC4">
        <w:rPr>
          <w:rFonts w:ascii="Calibri" w:eastAsia="Times New Roman" w:hAnsi="Calibri" w:cs="Calibri"/>
          <w:color w:val="2C2C2C"/>
          <w:kern w:val="0"/>
          <w:sz w:val="27"/>
          <w:szCs w:val="27"/>
          <w14:ligatures w14:val="none"/>
        </w:rPr>
        <w:lastRenderedPageBreak/>
        <w:t>family will buy the $15 Mickey pretzel at 2:47 PM, you don't need cushion. You need velocity. The 0.21 drop signals strategic capital deployment, not distress.</w:t>
      </w:r>
    </w:p>
    <w:p w14:paraId="6C41C162" w14:textId="77777777" w:rsidR="00F65FC4" w:rsidRPr="00F65FC4" w:rsidRDefault="00F65FC4" w:rsidP="00F65FC4">
      <w:pPr>
        <w:shd w:val="clear" w:color="auto" w:fill="F8FAFC"/>
        <w:spacing w:after="75" w:line="240" w:lineRule="auto"/>
        <w:rPr>
          <w:rFonts w:ascii="Calibri" w:eastAsia="Times New Roman" w:hAnsi="Calibri" w:cs="Calibri"/>
          <w:b/>
          <w:bCs/>
          <w:color w:val="1E3A8A"/>
          <w:kern w:val="0"/>
          <w:sz w:val="26"/>
          <w:szCs w:val="26"/>
          <w14:ligatures w14:val="none"/>
        </w:rPr>
      </w:pPr>
      <w:r w:rsidRPr="00F65FC4">
        <w:rPr>
          <w:rFonts w:ascii="Calibri" w:eastAsia="Times New Roman" w:hAnsi="Calibri" w:cs="Calibri"/>
          <w:b/>
          <w:bCs/>
          <w:color w:val="1E3A8A"/>
          <w:kern w:val="0"/>
          <w:sz w:val="26"/>
          <w:szCs w:val="26"/>
          <w14:ligatures w14:val="none"/>
        </w:rPr>
        <w:t>Quick Ratio</w:t>
      </w:r>
    </w:p>
    <w:p w14:paraId="31A4B055" w14:textId="77777777" w:rsidR="00F65FC4" w:rsidRPr="00F65FC4" w:rsidRDefault="00F65FC4" w:rsidP="00F65FC4">
      <w:pPr>
        <w:shd w:val="clear" w:color="auto" w:fill="F8FAFC"/>
        <w:spacing w:after="75" w:line="240" w:lineRule="auto"/>
        <w:rPr>
          <w:rFonts w:ascii="Calibri" w:eastAsia="Times New Roman" w:hAnsi="Calibri" w:cs="Calibri"/>
          <w:i/>
          <w:iCs/>
          <w:color w:val="64748B"/>
          <w:kern w:val="0"/>
          <w:sz w:val="20"/>
          <w:szCs w:val="20"/>
          <w14:ligatures w14:val="none"/>
        </w:rPr>
      </w:pPr>
      <w:r w:rsidRPr="00F65FC4">
        <w:rPr>
          <w:rFonts w:ascii="Calibri" w:eastAsia="Times New Roman" w:hAnsi="Calibri" w:cs="Calibri"/>
          <w:i/>
          <w:iCs/>
          <w:color w:val="64748B"/>
          <w:kern w:val="0"/>
          <w:sz w:val="20"/>
          <w:szCs w:val="20"/>
          <w14:ligatures w14:val="none"/>
        </w:rPr>
        <w:t>Formula: (Current Assets - Inventory) ÷ Current Liabilities</w:t>
      </w:r>
    </w:p>
    <w:p w14:paraId="160D7DBB" w14:textId="77777777" w:rsidR="00F65FC4" w:rsidRPr="00F65FC4" w:rsidRDefault="00F65FC4" w:rsidP="00F65FC4">
      <w:pPr>
        <w:shd w:val="clear" w:color="auto" w:fill="F8FAFC"/>
        <w:spacing w:after="150" w:line="240" w:lineRule="auto"/>
        <w:rPr>
          <w:rFonts w:ascii="Calibri" w:eastAsia="Times New Roman" w:hAnsi="Calibri" w:cs="Calibri"/>
          <w:b/>
          <w:bCs/>
          <w:color w:val="2C2C2C"/>
          <w:kern w:val="0"/>
          <w:sz w:val="27"/>
          <w:szCs w:val="27"/>
          <w14:ligatures w14:val="none"/>
        </w:rPr>
      </w:pPr>
      <w:r w:rsidRPr="00F65FC4">
        <w:rPr>
          <w:rFonts w:ascii="Calibri" w:eastAsia="Times New Roman" w:hAnsi="Calibri" w:cs="Calibri"/>
          <w:b/>
          <w:bCs/>
          <w:color w:val="2C2C2C"/>
          <w:kern w:val="0"/>
          <w:sz w:val="27"/>
          <w:szCs w:val="27"/>
          <w14:ligatures w14:val="none"/>
        </w:rPr>
        <w:t>2023: ($23,436M - $1,540M) ÷ $27,921M = 0.78</w:t>
      </w:r>
      <w:r w:rsidRPr="00F65FC4">
        <w:rPr>
          <w:rFonts w:ascii="Calibri" w:eastAsia="Times New Roman" w:hAnsi="Calibri" w:cs="Calibri"/>
          <w:b/>
          <w:bCs/>
          <w:color w:val="2C2C2C"/>
          <w:kern w:val="0"/>
          <w:sz w:val="27"/>
          <w:szCs w:val="27"/>
          <w14:ligatures w14:val="none"/>
        </w:rPr>
        <w:br/>
        <w:t>2022: ($29,098M - $1,532M) ÷ $27,679M = 1.00</w:t>
      </w:r>
    </w:p>
    <w:p w14:paraId="1E9D2209" w14:textId="77777777" w:rsidR="00F65FC4" w:rsidRPr="00F65FC4" w:rsidRDefault="00F65FC4" w:rsidP="00F65FC4">
      <w:pPr>
        <w:shd w:val="clear" w:color="auto" w:fill="F8FAFC"/>
        <w:spacing w:line="240" w:lineRule="auto"/>
        <w:rPr>
          <w:rFonts w:ascii="Calibri" w:eastAsia="Times New Roman" w:hAnsi="Calibri" w:cs="Calibri"/>
          <w:color w:val="2C2C2C"/>
          <w:kern w:val="0"/>
          <w:sz w:val="27"/>
          <w:szCs w:val="27"/>
          <w14:ligatures w14:val="none"/>
        </w:rPr>
      </w:pPr>
      <w:r w:rsidRPr="00F65FC4">
        <w:rPr>
          <w:rFonts w:ascii="Calibri" w:eastAsia="Times New Roman" w:hAnsi="Calibri" w:cs="Calibri"/>
          <w:color w:val="2C2C2C"/>
          <w:kern w:val="0"/>
          <w:sz w:val="27"/>
          <w:szCs w:val="27"/>
          <w14:ligatures w14:val="none"/>
        </w:rPr>
        <w:t>Strip away the Elsa costumes and Baby Yoda inventory, and Disney's still liquid enough to pivot. This 0.22 decline isn't concerning—it's choreographed. Every dollar of working capital trapped in safety is a dollar not building the next Galaxy's Edge. They're trading liquidity for velocity, and in entertainment, velocity compounds.</w:t>
      </w:r>
    </w:p>
    <w:p w14:paraId="0D2F8877" w14:textId="77777777" w:rsidR="00F65FC4" w:rsidRPr="00F65FC4" w:rsidRDefault="00F65FC4" w:rsidP="00F65FC4">
      <w:pPr>
        <w:spacing w:line="240" w:lineRule="auto"/>
        <w:rPr>
          <w:rFonts w:ascii="Calibri" w:eastAsia="Times New Roman" w:hAnsi="Calibri" w:cs="Calibri"/>
          <w:b/>
          <w:bCs/>
          <w:caps/>
          <w:color w:val="0F172A"/>
          <w:spacing w:val="15"/>
          <w:kern w:val="0"/>
          <w:sz w:val="28"/>
          <w:szCs w:val="28"/>
          <w14:ligatures w14:val="none"/>
        </w:rPr>
      </w:pPr>
      <w:r w:rsidRPr="00F65FC4">
        <w:rPr>
          <w:rFonts w:ascii="Calibri" w:eastAsia="Times New Roman" w:hAnsi="Calibri" w:cs="Calibri"/>
          <w:b/>
          <w:bCs/>
          <w:caps/>
          <w:color w:val="0F172A"/>
          <w:spacing w:val="15"/>
          <w:kern w:val="0"/>
          <w:sz w:val="28"/>
          <w:szCs w:val="28"/>
          <w14:ligatures w14:val="none"/>
        </w:rPr>
        <w:t>Efficiency Ratios</w:t>
      </w:r>
    </w:p>
    <w:p w14:paraId="739304DC" w14:textId="77777777" w:rsidR="00F65FC4" w:rsidRPr="00F65FC4" w:rsidRDefault="00F65FC4" w:rsidP="00F65FC4">
      <w:pPr>
        <w:shd w:val="clear" w:color="auto" w:fill="F8FAFC"/>
        <w:spacing w:after="75" w:line="240" w:lineRule="auto"/>
        <w:rPr>
          <w:rFonts w:ascii="Calibri" w:eastAsia="Times New Roman" w:hAnsi="Calibri" w:cs="Calibri"/>
          <w:b/>
          <w:bCs/>
          <w:color w:val="1E3A8A"/>
          <w:kern w:val="0"/>
          <w:sz w:val="26"/>
          <w:szCs w:val="26"/>
          <w14:ligatures w14:val="none"/>
        </w:rPr>
      </w:pPr>
      <w:r w:rsidRPr="00F65FC4">
        <w:rPr>
          <w:rFonts w:ascii="Calibri" w:eastAsia="Times New Roman" w:hAnsi="Calibri" w:cs="Calibri"/>
          <w:b/>
          <w:bCs/>
          <w:color w:val="1E3A8A"/>
          <w:kern w:val="0"/>
          <w:sz w:val="26"/>
          <w:szCs w:val="26"/>
          <w14:ligatures w14:val="none"/>
        </w:rPr>
        <w:t>Total Asset Turnover</w:t>
      </w:r>
    </w:p>
    <w:p w14:paraId="6A2E5EA3" w14:textId="77777777" w:rsidR="00F65FC4" w:rsidRPr="00F65FC4" w:rsidRDefault="00F65FC4" w:rsidP="00F65FC4">
      <w:pPr>
        <w:shd w:val="clear" w:color="auto" w:fill="F8FAFC"/>
        <w:spacing w:after="75" w:line="240" w:lineRule="auto"/>
        <w:rPr>
          <w:rFonts w:ascii="Calibri" w:eastAsia="Times New Roman" w:hAnsi="Calibri" w:cs="Calibri"/>
          <w:i/>
          <w:iCs/>
          <w:color w:val="64748B"/>
          <w:kern w:val="0"/>
          <w:sz w:val="20"/>
          <w:szCs w:val="20"/>
          <w14:ligatures w14:val="none"/>
        </w:rPr>
      </w:pPr>
      <w:r w:rsidRPr="00F65FC4">
        <w:rPr>
          <w:rFonts w:ascii="Calibri" w:eastAsia="Times New Roman" w:hAnsi="Calibri" w:cs="Calibri"/>
          <w:i/>
          <w:iCs/>
          <w:color w:val="64748B"/>
          <w:kern w:val="0"/>
          <w:sz w:val="20"/>
          <w:szCs w:val="20"/>
          <w14:ligatures w14:val="none"/>
        </w:rPr>
        <w:t>Formula: Revenue ÷ Total Assets</w:t>
      </w:r>
    </w:p>
    <w:p w14:paraId="0FF170A7" w14:textId="77777777" w:rsidR="00F65FC4" w:rsidRPr="00F65FC4" w:rsidRDefault="00F65FC4" w:rsidP="00F65FC4">
      <w:pPr>
        <w:shd w:val="clear" w:color="auto" w:fill="F8FAFC"/>
        <w:spacing w:after="150" w:line="240" w:lineRule="auto"/>
        <w:rPr>
          <w:rFonts w:ascii="Calibri" w:eastAsia="Times New Roman" w:hAnsi="Calibri" w:cs="Calibri"/>
          <w:b/>
          <w:bCs/>
          <w:color w:val="2C2C2C"/>
          <w:kern w:val="0"/>
          <w:sz w:val="27"/>
          <w:szCs w:val="27"/>
          <w14:ligatures w14:val="none"/>
        </w:rPr>
      </w:pPr>
      <w:r w:rsidRPr="00F65FC4">
        <w:rPr>
          <w:rFonts w:ascii="Calibri" w:eastAsia="Times New Roman" w:hAnsi="Calibri" w:cs="Calibri"/>
          <w:b/>
          <w:bCs/>
          <w:color w:val="2C2C2C"/>
          <w:kern w:val="0"/>
          <w:sz w:val="27"/>
          <w:szCs w:val="27"/>
          <w14:ligatures w14:val="none"/>
        </w:rPr>
        <w:t>2023: $88,898M ÷ $205,579M = 0.43</w:t>
      </w:r>
      <w:r w:rsidRPr="00F65FC4">
        <w:rPr>
          <w:rFonts w:ascii="Calibri" w:eastAsia="Times New Roman" w:hAnsi="Calibri" w:cs="Calibri"/>
          <w:b/>
          <w:bCs/>
          <w:color w:val="2C2C2C"/>
          <w:kern w:val="0"/>
          <w:sz w:val="27"/>
          <w:szCs w:val="27"/>
          <w14:ligatures w14:val="none"/>
        </w:rPr>
        <w:br/>
        <w:t>2022: $82,722M ÷ $203,631M = 0.41</w:t>
      </w:r>
    </w:p>
    <w:p w14:paraId="3C7B7D8D" w14:textId="77777777" w:rsidR="00F65FC4" w:rsidRPr="00F65FC4" w:rsidRDefault="00F65FC4" w:rsidP="00F65FC4">
      <w:pPr>
        <w:shd w:val="clear" w:color="auto" w:fill="F8FAFC"/>
        <w:spacing w:line="240" w:lineRule="auto"/>
        <w:rPr>
          <w:rFonts w:ascii="Calibri" w:eastAsia="Times New Roman" w:hAnsi="Calibri" w:cs="Calibri"/>
          <w:color w:val="2C2C2C"/>
          <w:kern w:val="0"/>
          <w:sz w:val="27"/>
          <w:szCs w:val="27"/>
          <w14:ligatures w14:val="none"/>
        </w:rPr>
      </w:pPr>
      <w:r w:rsidRPr="00F65FC4">
        <w:rPr>
          <w:rFonts w:ascii="Calibri" w:eastAsia="Times New Roman" w:hAnsi="Calibri" w:cs="Calibri"/>
          <w:color w:val="2C2C2C"/>
          <w:kern w:val="0"/>
          <w:sz w:val="27"/>
          <w:szCs w:val="27"/>
          <w14:ligatures w14:val="none"/>
        </w:rPr>
        <w:t>Disney generates 43 cents of revenue per dollar of assets. Sounds weak? That's the price of owning intellectual property that appreciates like Manhattan real estate. The Magic Kingdom land alone is worth more than most S&amp;P 500 companies. The 0.02 improvement shows they're squeezing more magic from the same castle.</w:t>
      </w:r>
    </w:p>
    <w:p w14:paraId="688C5D9E" w14:textId="77777777" w:rsidR="00F65FC4" w:rsidRPr="00F65FC4" w:rsidRDefault="00F65FC4" w:rsidP="00F65FC4">
      <w:pPr>
        <w:shd w:val="clear" w:color="auto" w:fill="F8FAFC"/>
        <w:spacing w:after="75" w:line="240" w:lineRule="auto"/>
        <w:rPr>
          <w:rFonts w:ascii="Calibri" w:eastAsia="Times New Roman" w:hAnsi="Calibri" w:cs="Calibri"/>
          <w:b/>
          <w:bCs/>
          <w:color w:val="1E3A8A"/>
          <w:kern w:val="0"/>
          <w:sz w:val="26"/>
          <w:szCs w:val="26"/>
          <w14:ligatures w14:val="none"/>
        </w:rPr>
      </w:pPr>
      <w:r w:rsidRPr="00F65FC4">
        <w:rPr>
          <w:rFonts w:ascii="Calibri" w:eastAsia="Times New Roman" w:hAnsi="Calibri" w:cs="Calibri"/>
          <w:b/>
          <w:bCs/>
          <w:color w:val="1E3A8A"/>
          <w:kern w:val="0"/>
          <w:sz w:val="26"/>
          <w:szCs w:val="26"/>
          <w14:ligatures w14:val="none"/>
        </w:rPr>
        <w:t>Inventory Turnover</w:t>
      </w:r>
    </w:p>
    <w:p w14:paraId="6BF0569B" w14:textId="77777777" w:rsidR="00F65FC4" w:rsidRPr="00F65FC4" w:rsidRDefault="00F65FC4" w:rsidP="00F65FC4">
      <w:pPr>
        <w:shd w:val="clear" w:color="auto" w:fill="F8FAFC"/>
        <w:spacing w:after="75" w:line="240" w:lineRule="auto"/>
        <w:rPr>
          <w:rFonts w:ascii="Calibri" w:eastAsia="Times New Roman" w:hAnsi="Calibri" w:cs="Calibri"/>
          <w:i/>
          <w:iCs/>
          <w:color w:val="64748B"/>
          <w:kern w:val="0"/>
          <w:sz w:val="20"/>
          <w:szCs w:val="20"/>
          <w14:ligatures w14:val="none"/>
        </w:rPr>
      </w:pPr>
      <w:r w:rsidRPr="00F65FC4">
        <w:rPr>
          <w:rFonts w:ascii="Calibri" w:eastAsia="Times New Roman" w:hAnsi="Calibri" w:cs="Calibri"/>
          <w:i/>
          <w:iCs/>
          <w:color w:val="64748B"/>
          <w:kern w:val="0"/>
          <w:sz w:val="20"/>
          <w:szCs w:val="20"/>
          <w14:ligatures w14:val="none"/>
        </w:rPr>
        <w:t>Formula: Cost of Goods Sold ÷ Average Inventory</w:t>
      </w:r>
    </w:p>
    <w:p w14:paraId="7E375AD6" w14:textId="77777777" w:rsidR="00F65FC4" w:rsidRPr="00F65FC4" w:rsidRDefault="00F65FC4" w:rsidP="00F65FC4">
      <w:pPr>
        <w:shd w:val="clear" w:color="auto" w:fill="F8FAFC"/>
        <w:spacing w:after="150" w:line="240" w:lineRule="auto"/>
        <w:rPr>
          <w:rFonts w:ascii="Calibri" w:eastAsia="Times New Roman" w:hAnsi="Calibri" w:cs="Calibri"/>
          <w:b/>
          <w:bCs/>
          <w:color w:val="2C2C2C"/>
          <w:kern w:val="0"/>
          <w:sz w:val="27"/>
          <w:szCs w:val="27"/>
          <w14:ligatures w14:val="none"/>
        </w:rPr>
      </w:pPr>
      <w:r w:rsidRPr="00F65FC4">
        <w:rPr>
          <w:rFonts w:ascii="Calibri" w:eastAsia="Times New Roman" w:hAnsi="Calibri" w:cs="Calibri"/>
          <w:b/>
          <w:bCs/>
          <w:color w:val="2C2C2C"/>
          <w:kern w:val="0"/>
          <w:sz w:val="27"/>
          <w:szCs w:val="27"/>
          <w14:ligatures w14:val="none"/>
        </w:rPr>
        <w:t>2023: $48,551M ÷ $1,536M = 31.6x</w:t>
      </w:r>
      <w:r w:rsidRPr="00F65FC4">
        <w:rPr>
          <w:rFonts w:ascii="Calibri" w:eastAsia="Times New Roman" w:hAnsi="Calibri" w:cs="Calibri"/>
          <w:b/>
          <w:bCs/>
          <w:color w:val="2C2C2C"/>
          <w:kern w:val="0"/>
          <w:sz w:val="27"/>
          <w:szCs w:val="27"/>
          <w14:ligatures w14:val="none"/>
        </w:rPr>
        <w:br/>
        <w:t>2022: $42,337M ÷ $1,487M = 28.5x</w:t>
      </w:r>
    </w:p>
    <w:p w14:paraId="2CA4BE8D" w14:textId="77777777" w:rsidR="00F65FC4" w:rsidRPr="00F65FC4" w:rsidRDefault="00F65FC4" w:rsidP="00F65FC4">
      <w:pPr>
        <w:shd w:val="clear" w:color="auto" w:fill="F8FAFC"/>
        <w:spacing w:line="240" w:lineRule="auto"/>
        <w:rPr>
          <w:rFonts w:ascii="Calibri" w:eastAsia="Times New Roman" w:hAnsi="Calibri" w:cs="Calibri"/>
          <w:color w:val="2C2C2C"/>
          <w:kern w:val="0"/>
          <w:sz w:val="27"/>
          <w:szCs w:val="27"/>
          <w14:ligatures w14:val="none"/>
        </w:rPr>
      </w:pPr>
      <w:r w:rsidRPr="00F65FC4">
        <w:rPr>
          <w:rFonts w:ascii="Calibri" w:eastAsia="Times New Roman" w:hAnsi="Calibri" w:cs="Calibri"/>
          <w:color w:val="2C2C2C"/>
          <w:kern w:val="0"/>
          <w:sz w:val="27"/>
          <w:szCs w:val="27"/>
          <w14:ligatures w14:val="none"/>
        </w:rPr>
        <w:t>Merchandise moves through Disney stores faster than Space Mountain's launch sequence. That 3.1x improvement? It's the difference between guessing what fans want and knowing because Disney+ viewing data tells you exactly which princess is trending in suburban Minneapolis. Every plush toy is a physical subscription to an emotional ecosystem.</w:t>
      </w:r>
    </w:p>
    <w:p w14:paraId="472EF5F9" w14:textId="77777777" w:rsidR="00F65FC4" w:rsidRPr="00F65FC4" w:rsidRDefault="00F65FC4" w:rsidP="00F65FC4">
      <w:pPr>
        <w:spacing w:line="240" w:lineRule="auto"/>
        <w:rPr>
          <w:rFonts w:ascii="Calibri" w:eastAsia="Times New Roman" w:hAnsi="Calibri" w:cs="Calibri"/>
          <w:b/>
          <w:bCs/>
          <w:caps/>
          <w:color w:val="0F172A"/>
          <w:spacing w:val="15"/>
          <w:kern w:val="0"/>
          <w:sz w:val="28"/>
          <w:szCs w:val="28"/>
          <w14:ligatures w14:val="none"/>
        </w:rPr>
      </w:pPr>
      <w:r w:rsidRPr="00F65FC4">
        <w:rPr>
          <w:rFonts w:ascii="Calibri" w:eastAsia="Times New Roman" w:hAnsi="Calibri" w:cs="Calibri"/>
          <w:b/>
          <w:bCs/>
          <w:caps/>
          <w:color w:val="0F172A"/>
          <w:spacing w:val="15"/>
          <w:kern w:val="0"/>
          <w:sz w:val="28"/>
          <w:szCs w:val="28"/>
          <w14:ligatures w14:val="none"/>
        </w:rPr>
        <w:t>Leverage Ratios</w:t>
      </w:r>
    </w:p>
    <w:p w14:paraId="6F9F279F" w14:textId="77777777" w:rsidR="00F65FC4" w:rsidRPr="00F65FC4" w:rsidRDefault="00F65FC4" w:rsidP="00F65FC4">
      <w:pPr>
        <w:shd w:val="clear" w:color="auto" w:fill="F8FAFC"/>
        <w:spacing w:after="75" w:line="240" w:lineRule="auto"/>
        <w:rPr>
          <w:rFonts w:ascii="Calibri" w:eastAsia="Times New Roman" w:hAnsi="Calibri" w:cs="Calibri"/>
          <w:b/>
          <w:bCs/>
          <w:color w:val="1E3A8A"/>
          <w:kern w:val="0"/>
          <w:sz w:val="26"/>
          <w:szCs w:val="26"/>
          <w14:ligatures w14:val="none"/>
        </w:rPr>
      </w:pPr>
      <w:r w:rsidRPr="00F65FC4">
        <w:rPr>
          <w:rFonts w:ascii="Calibri" w:eastAsia="Times New Roman" w:hAnsi="Calibri" w:cs="Calibri"/>
          <w:b/>
          <w:bCs/>
          <w:color w:val="1E3A8A"/>
          <w:kern w:val="0"/>
          <w:sz w:val="26"/>
          <w:szCs w:val="26"/>
          <w14:ligatures w14:val="none"/>
        </w:rPr>
        <w:t>Debt to Equity</w:t>
      </w:r>
    </w:p>
    <w:p w14:paraId="47BFFA9E" w14:textId="77777777" w:rsidR="00F65FC4" w:rsidRPr="00F65FC4" w:rsidRDefault="00F65FC4" w:rsidP="00F65FC4">
      <w:pPr>
        <w:shd w:val="clear" w:color="auto" w:fill="F8FAFC"/>
        <w:spacing w:after="75" w:line="240" w:lineRule="auto"/>
        <w:rPr>
          <w:rFonts w:ascii="Calibri" w:eastAsia="Times New Roman" w:hAnsi="Calibri" w:cs="Calibri"/>
          <w:i/>
          <w:iCs/>
          <w:color w:val="64748B"/>
          <w:kern w:val="0"/>
          <w:sz w:val="20"/>
          <w:szCs w:val="20"/>
          <w14:ligatures w14:val="none"/>
        </w:rPr>
      </w:pPr>
      <w:r w:rsidRPr="00F65FC4">
        <w:rPr>
          <w:rFonts w:ascii="Calibri" w:eastAsia="Times New Roman" w:hAnsi="Calibri" w:cs="Calibri"/>
          <w:i/>
          <w:iCs/>
          <w:color w:val="64748B"/>
          <w:kern w:val="0"/>
          <w:sz w:val="20"/>
          <w:szCs w:val="20"/>
          <w14:ligatures w14:val="none"/>
        </w:rPr>
        <w:t>Formula: Total Debt ÷ Shareholders' Equity</w:t>
      </w:r>
    </w:p>
    <w:p w14:paraId="2AFE62FB" w14:textId="77777777" w:rsidR="00F65FC4" w:rsidRPr="00F65FC4" w:rsidRDefault="00F65FC4" w:rsidP="00F65FC4">
      <w:pPr>
        <w:shd w:val="clear" w:color="auto" w:fill="F8FAFC"/>
        <w:spacing w:after="150" w:line="240" w:lineRule="auto"/>
        <w:rPr>
          <w:rFonts w:ascii="Calibri" w:eastAsia="Times New Roman" w:hAnsi="Calibri" w:cs="Calibri"/>
          <w:b/>
          <w:bCs/>
          <w:color w:val="2C2C2C"/>
          <w:kern w:val="0"/>
          <w:sz w:val="27"/>
          <w:szCs w:val="27"/>
          <w14:ligatures w14:val="none"/>
        </w:rPr>
      </w:pPr>
      <w:r w:rsidRPr="00F65FC4">
        <w:rPr>
          <w:rFonts w:ascii="Calibri" w:eastAsia="Times New Roman" w:hAnsi="Calibri" w:cs="Calibri"/>
          <w:b/>
          <w:bCs/>
          <w:color w:val="2C2C2C"/>
          <w:kern w:val="0"/>
          <w:sz w:val="27"/>
          <w:szCs w:val="27"/>
          <w14:ligatures w14:val="none"/>
        </w:rPr>
        <w:t>2023: $45,299M ÷ $97,610M = 0.46</w:t>
      </w:r>
      <w:r w:rsidRPr="00F65FC4">
        <w:rPr>
          <w:rFonts w:ascii="Calibri" w:eastAsia="Times New Roman" w:hAnsi="Calibri" w:cs="Calibri"/>
          <w:b/>
          <w:bCs/>
          <w:color w:val="2C2C2C"/>
          <w:kern w:val="0"/>
          <w:sz w:val="27"/>
          <w:szCs w:val="27"/>
          <w14:ligatures w14:val="none"/>
        </w:rPr>
        <w:br/>
        <w:t>2022: $48,435M ÷ $95,008M = 0.51</w:t>
      </w:r>
    </w:p>
    <w:p w14:paraId="7C27FA04" w14:textId="77777777" w:rsidR="00F65FC4" w:rsidRPr="00F65FC4" w:rsidRDefault="00F65FC4" w:rsidP="00F65FC4">
      <w:pPr>
        <w:shd w:val="clear" w:color="auto" w:fill="F8FAFC"/>
        <w:spacing w:line="240" w:lineRule="auto"/>
        <w:rPr>
          <w:rFonts w:ascii="Calibri" w:eastAsia="Times New Roman" w:hAnsi="Calibri" w:cs="Calibri"/>
          <w:color w:val="2C2C2C"/>
          <w:kern w:val="0"/>
          <w:sz w:val="27"/>
          <w:szCs w:val="27"/>
          <w14:ligatures w14:val="none"/>
        </w:rPr>
      </w:pPr>
      <w:r w:rsidRPr="00F65FC4">
        <w:rPr>
          <w:rFonts w:ascii="Calibri" w:eastAsia="Times New Roman" w:hAnsi="Calibri" w:cs="Calibri"/>
          <w:color w:val="2C2C2C"/>
          <w:kern w:val="0"/>
          <w:sz w:val="27"/>
          <w:szCs w:val="27"/>
          <w14:ligatures w14:val="none"/>
        </w:rPr>
        <w:lastRenderedPageBreak/>
        <w:t>For every dollar shareholders own, Disney owes 46 cents. Down from 51 cents. They're deleveraging while building new cruise ships and buying the rest of Hulu. That's not financial management—that's sorcery. In an era of cheap debt, Disney's paying it down. Why? Because when you own the future of entertainment, you don't rent it.</w:t>
      </w:r>
    </w:p>
    <w:p w14:paraId="24AF6C8E" w14:textId="77777777" w:rsidR="00F65FC4" w:rsidRPr="00F65FC4" w:rsidRDefault="00F65FC4" w:rsidP="00F65FC4">
      <w:pPr>
        <w:shd w:val="clear" w:color="auto" w:fill="F8FAFC"/>
        <w:spacing w:after="75" w:line="240" w:lineRule="auto"/>
        <w:rPr>
          <w:rFonts w:ascii="Calibri" w:eastAsia="Times New Roman" w:hAnsi="Calibri" w:cs="Calibri"/>
          <w:b/>
          <w:bCs/>
          <w:color w:val="1E3A8A"/>
          <w:kern w:val="0"/>
          <w:sz w:val="26"/>
          <w:szCs w:val="26"/>
          <w14:ligatures w14:val="none"/>
        </w:rPr>
      </w:pPr>
      <w:r w:rsidRPr="00F65FC4">
        <w:rPr>
          <w:rFonts w:ascii="Calibri" w:eastAsia="Times New Roman" w:hAnsi="Calibri" w:cs="Calibri"/>
          <w:b/>
          <w:bCs/>
          <w:color w:val="1E3A8A"/>
          <w:kern w:val="0"/>
          <w:sz w:val="26"/>
          <w:szCs w:val="26"/>
          <w14:ligatures w14:val="none"/>
        </w:rPr>
        <w:t>Times Interest Earned</w:t>
      </w:r>
    </w:p>
    <w:p w14:paraId="78E45C39" w14:textId="77777777" w:rsidR="00F65FC4" w:rsidRPr="00F65FC4" w:rsidRDefault="00F65FC4" w:rsidP="00F65FC4">
      <w:pPr>
        <w:shd w:val="clear" w:color="auto" w:fill="F8FAFC"/>
        <w:spacing w:after="75" w:line="240" w:lineRule="auto"/>
        <w:rPr>
          <w:rFonts w:ascii="Calibri" w:eastAsia="Times New Roman" w:hAnsi="Calibri" w:cs="Calibri"/>
          <w:i/>
          <w:iCs/>
          <w:color w:val="64748B"/>
          <w:kern w:val="0"/>
          <w:sz w:val="20"/>
          <w:szCs w:val="20"/>
          <w14:ligatures w14:val="none"/>
        </w:rPr>
      </w:pPr>
      <w:r w:rsidRPr="00F65FC4">
        <w:rPr>
          <w:rFonts w:ascii="Calibri" w:eastAsia="Times New Roman" w:hAnsi="Calibri" w:cs="Calibri"/>
          <w:i/>
          <w:iCs/>
          <w:color w:val="64748B"/>
          <w:kern w:val="0"/>
          <w:sz w:val="20"/>
          <w:szCs w:val="20"/>
          <w14:ligatures w14:val="none"/>
        </w:rPr>
        <w:t>Formula: EBIT ÷ Interest Expense</w:t>
      </w:r>
    </w:p>
    <w:p w14:paraId="6BB2F256" w14:textId="77777777" w:rsidR="00F65FC4" w:rsidRPr="00F65FC4" w:rsidRDefault="00F65FC4" w:rsidP="00F65FC4">
      <w:pPr>
        <w:shd w:val="clear" w:color="auto" w:fill="F8FAFC"/>
        <w:spacing w:after="150" w:line="240" w:lineRule="auto"/>
        <w:rPr>
          <w:rFonts w:ascii="Calibri" w:eastAsia="Times New Roman" w:hAnsi="Calibri" w:cs="Calibri"/>
          <w:b/>
          <w:bCs/>
          <w:color w:val="2C2C2C"/>
          <w:kern w:val="0"/>
          <w:sz w:val="27"/>
          <w:szCs w:val="27"/>
          <w14:ligatures w14:val="none"/>
        </w:rPr>
      </w:pPr>
      <w:r w:rsidRPr="00F65FC4">
        <w:rPr>
          <w:rFonts w:ascii="Calibri" w:eastAsia="Times New Roman" w:hAnsi="Calibri" w:cs="Calibri"/>
          <w:b/>
          <w:bCs/>
          <w:color w:val="2C2C2C"/>
          <w:kern w:val="0"/>
          <w:sz w:val="27"/>
          <w:szCs w:val="27"/>
          <w14:ligatures w14:val="none"/>
        </w:rPr>
        <w:t>2023: $12,863M ÷ $1,638M = 7.9x</w:t>
      </w:r>
      <w:r w:rsidRPr="00F65FC4">
        <w:rPr>
          <w:rFonts w:ascii="Calibri" w:eastAsia="Times New Roman" w:hAnsi="Calibri" w:cs="Calibri"/>
          <w:b/>
          <w:bCs/>
          <w:color w:val="2C2C2C"/>
          <w:kern w:val="0"/>
          <w:sz w:val="27"/>
          <w:szCs w:val="27"/>
          <w14:ligatures w14:val="none"/>
        </w:rPr>
        <w:br/>
        <w:t>2022: $8,316M ÷ $1,551M = 5.4x</w:t>
      </w:r>
    </w:p>
    <w:p w14:paraId="4B07C234" w14:textId="77777777" w:rsidR="00F65FC4" w:rsidRPr="00F65FC4" w:rsidRDefault="00F65FC4" w:rsidP="00F65FC4">
      <w:pPr>
        <w:shd w:val="clear" w:color="auto" w:fill="F8FAFC"/>
        <w:spacing w:line="240" w:lineRule="auto"/>
        <w:rPr>
          <w:rFonts w:ascii="Calibri" w:eastAsia="Times New Roman" w:hAnsi="Calibri" w:cs="Calibri"/>
          <w:color w:val="2C2C2C"/>
          <w:kern w:val="0"/>
          <w:sz w:val="27"/>
          <w:szCs w:val="27"/>
          <w14:ligatures w14:val="none"/>
        </w:rPr>
      </w:pPr>
      <w:r w:rsidRPr="00F65FC4">
        <w:rPr>
          <w:rFonts w:ascii="Calibri" w:eastAsia="Times New Roman" w:hAnsi="Calibri" w:cs="Calibri"/>
          <w:color w:val="2C2C2C"/>
          <w:kern w:val="0"/>
          <w:sz w:val="27"/>
          <w:szCs w:val="27"/>
          <w14:ligatures w14:val="none"/>
        </w:rPr>
        <w:t>Disney covers interest payments 7.9 times over, up from 5.4x. That's not just improvement—that's transformation. Even with billion-dollar streaming losses, they pay debt like a heavyweight handles a welterweight: barely breaking a sweat. The 2.5x jump signals operating leverage finally kicking in as streaming approaches break-even.</w:t>
      </w:r>
    </w:p>
    <w:p w14:paraId="03B23390" w14:textId="77777777" w:rsidR="00F65FC4" w:rsidRPr="00F65FC4" w:rsidRDefault="00F65FC4" w:rsidP="00F65FC4">
      <w:pPr>
        <w:spacing w:line="240" w:lineRule="auto"/>
        <w:rPr>
          <w:rFonts w:ascii="Calibri" w:eastAsia="Times New Roman" w:hAnsi="Calibri" w:cs="Calibri"/>
          <w:b/>
          <w:bCs/>
          <w:caps/>
          <w:color w:val="0F172A"/>
          <w:spacing w:val="15"/>
          <w:kern w:val="0"/>
          <w:sz w:val="28"/>
          <w:szCs w:val="28"/>
          <w14:ligatures w14:val="none"/>
        </w:rPr>
      </w:pPr>
      <w:r w:rsidRPr="00F65FC4">
        <w:rPr>
          <w:rFonts w:ascii="Calibri" w:eastAsia="Times New Roman" w:hAnsi="Calibri" w:cs="Calibri"/>
          <w:b/>
          <w:bCs/>
          <w:caps/>
          <w:color w:val="0F172A"/>
          <w:spacing w:val="15"/>
          <w:kern w:val="0"/>
          <w:sz w:val="28"/>
          <w:szCs w:val="28"/>
          <w14:ligatures w14:val="none"/>
        </w:rPr>
        <w:t>Profitability Ratios</w:t>
      </w:r>
    </w:p>
    <w:p w14:paraId="6670D9A7" w14:textId="77777777" w:rsidR="00F65FC4" w:rsidRPr="00F65FC4" w:rsidRDefault="00F65FC4" w:rsidP="00F65FC4">
      <w:pPr>
        <w:shd w:val="clear" w:color="auto" w:fill="F8FAFC"/>
        <w:spacing w:after="75" w:line="240" w:lineRule="auto"/>
        <w:rPr>
          <w:rFonts w:ascii="Calibri" w:eastAsia="Times New Roman" w:hAnsi="Calibri" w:cs="Calibri"/>
          <w:b/>
          <w:bCs/>
          <w:color w:val="1E3A8A"/>
          <w:kern w:val="0"/>
          <w:sz w:val="26"/>
          <w:szCs w:val="26"/>
          <w14:ligatures w14:val="none"/>
        </w:rPr>
      </w:pPr>
      <w:r w:rsidRPr="00F65FC4">
        <w:rPr>
          <w:rFonts w:ascii="Calibri" w:eastAsia="Times New Roman" w:hAnsi="Calibri" w:cs="Calibri"/>
          <w:b/>
          <w:bCs/>
          <w:color w:val="1E3A8A"/>
          <w:kern w:val="0"/>
          <w:sz w:val="26"/>
          <w:szCs w:val="26"/>
          <w14:ligatures w14:val="none"/>
        </w:rPr>
        <w:t>Return on Equity (ROE)</w:t>
      </w:r>
    </w:p>
    <w:p w14:paraId="125ABA4E" w14:textId="77777777" w:rsidR="00F65FC4" w:rsidRPr="00F65FC4" w:rsidRDefault="00F65FC4" w:rsidP="00F65FC4">
      <w:pPr>
        <w:shd w:val="clear" w:color="auto" w:fill="F8FAFC"/>
        <w:spacing w:after="75" w:line="240" w:lineRule="auto"/>
        <w:rPr>
          <w:rFonts w:ascii="Calibri" w:eastAsia="Times New Roman" w:hAnsi="Calibri" w:cs="Calibri"/>
          <w:i/>
          <w:iCs/>
          <w:color w:val="64748B"/>
          <w:kern w:val="0"/>
          <w:sz w:val="20"/>
          <w:szCs w:val="20"/>
          <w14:ligatures w14:val="none"/>
        </w:rPr>
      </w:pPr>
      <w:r w:rsidRPr="00F65FC4">
        <w:rPr>
          <w:rFonts w:ascii="Calibri" w:eastAsia="Times New Roman" w:hAnsi="Calibri" w:cs="Calibri"/>
          <w:i/>
          <w:iCs/>
          <w:color w:val="64748B"/>
          <w:kern w:val="0"/>
          <w:sz w:val="20"/>
          <w:szCs w:val="20"/>
          <w14:ligatures w14:val="none"/>
        </w:rPr>
        <w:t>Formula: Net Income ÷ Shareholders' Equity</w:t>
      </w:r>
    </w:p>
    <w:p w14:paraId="3DAA059F" w14:textId="77777777" w:rsidR="00F65FC4" w:rsidRPr="00F65FC4" w:rsidRDefault="00F65FC4" w:rsidP="00F65FC4">
      <w:pPr>
        <w:shd w:val="clear" w:color="auto" w:fill="F8FAFC"/>
        <w:spacing w:after="150" w:line="240" w:lineRule="auto"/>
        <w:rPr>
          <w:rFonts w:ascii="Calibri" w:eastAsia="Times New Roman" w:hAnsi="Calibri" w:cs="Calibri"/>
          <w:b/>
          <w:bCs/>
          <w:color w:val="2C2C2C"/>
          <w:kern w:val="0"/>
          <w:sz w:val="27"/>
          <w:szCs w:val="27"/>
          <w14:ligatures w14:val="none"/>
        </w:rPr>
      </w:pPr>
      <w:r w:rsidRPr="00F65FC4">
        <w:rPr>
          <w:rFonts w:ascii="Calibri" w:eastAsia="Times New Roman" w:hAnsi="Calibri" w:cs="Calibri"/>
          <w:b/>
          <w:bCs/>
          <w:color w:val="2C2C2C"/>
          <w:kern w:val="0"/>
          <w:sz w:val="27"/>
          <w:szCs w:val="27"/>
          <w14:ligatures w14:val="none"/>
        </w:rPr>
        <w:t>2023: $2,354M ÷ $97,610M = 2.4%</w:t>
      </w:r>
      <w:r w:rsidRPr="00F65FC4">
        <w:rPr>
          <w:rFonts w:ascii="Calibri" w:eastAsia="Times New Roman" w:hAnsi="Calibri" w:cs="Calibri"/>
          <w:b/>
          <w:bCs/>
          <w:color w:val="2C2C2C"/>
          <w:kern w:val="0"/>
          <w:sz w:val="27"/>
          <w:szCs w:val="27"/>
          <w14:ligatures w14:val="none"/>
        </w:rPr>
        <w:br/>
        <w:t>2022: $3,145M ÷ $95,008M = 3.3%</w:t>
      </w:r>
    </w:p>
    <w:p w14:paraId="3EA682F2" w14:textId="77777777" w:rsidR="00F65FC4" w:rsidRPr="00F65FC4" w:rsidRDefault="00F65FC4" w:rsidP="00F65FC4">
      <w:pPr>
        <w:shd w:val="clear" w:color="auto" w:fill="F8FAFC"/>
        <w:spacing w:line="240" w:lineRule="auto"/>
        <w:rPr>
          <w:rFonts w:ascii="Calibri" w:eastAsia="Times New Roman" w:hAnsi="Calibri" w:cs="Calibri"/>
          <w:color w:val="2C2C2C"/>
          <w:kern w:val="0"/>
          <w:sz w:val="27"/>
          <w:szCs w:val="27"/>
          <w14:ligatures w14:val="none"/>
        </w:rPr>
      </w:pPr>
      <w:r w:rsidRPr="00F65FC4">
        <w:rPr>
          <w:rFonts w:ascii="Calibri" w:eastAsia="Times New Roman" w:hAnsi="Calibri" w:cs="Calibri"/>
          <w:color w:val="2C2C2C"/>
          <w:kern w:val="0"/>
          <w:sz w:val="27"/>
          <w:szCs w:val="27"/>
          <w14:ligatures w14:val="none"/>
        </w:rPr>
        <w:t>ROE dropped to 2.4%, but here's the pattern recognition: Disney's playing prevent defense while transitioning to offense. They're sacrificing today's returns to build tomorrow's monopoly on joy. When streaming turns profitable (Q4 2024 target), this metric explodes. It's the financial equivalent of taking a knee to run out the clock when you're already winning.</w:t>
      </w:r>
    </w:p>
    <w:p w14:paraId="14FA641F" w14:textId="77777777" w:rsidR="00F65FC4" w:rsidRPr="00F65FC4" w:rsidRDefault="00F65FC4" w:rsidP="00F65FC4">
      <w:pPr>
        <w:shd w:val="clear" w:color="auto" w:fill="F8FAFC"/>
        <w:spacing w:after="75" w:line="240" w:lineRule="auto"/>
        <w:rPr>
          <w:rFonts w:ascii="Calibri" w:eastAsia="Times New Roman" w:hAnsi="Calibri" w:cs="Calibri"/>
          <w:b/>
          <w:bCs/>
          <w:color w:val="1E3A8A"/>
          <w:kern w:val="0"/>
          <w:sz w:val="26"/>
          <w:szCs w:val="26"/>
          <w14:ligatures w14:val="none"/>
        </w:rPr>
      </w:pPr>
      <w:r w:rsidRPr="00F65FC4">
        <w:rPr>
          <w:rFonts w:ascii="Calibri" w:eastAsia="Times New Roman" w:hAnsi="Calibri" w:cs="Calibri"/>
          <w:b/>
          <w:bCs/>
          <w:color w:val="1E3A8A"/>
          <w:kern w:val="0"/>
          <w:sz w:val="26"/>
          <w:szCs w:val="26"/>
          <w14:ligatures w14:val="none"/>
        </w:rPr>
        <w:t>Operating Profit Margin</w:t>
      </w:r>
    </w:p>
    <w:p w14:paraId="64DFA372" w14:textId="77777777" w:rsidR="00F65FC4" w:rsidRPr="00F65FC4" w:rsidRDefault="00F65FC4" w:rsidP="00F65FC4">
      <w:pPr>
        <w:shd w:val="clear" w:color="auto" w:fill="F8FAFC"/>
        <w:spacing w:after="75" w:line="240" w:lineRule="auto"/>
        <w:rPr>
          <w:rFonts w:ascii="Calibri" w:eastAsia="Times New Roman" w:hAnsi="Calibri" w:cs="Calibri"/>
          <w:i/>
          <w:iCs/>
          <w:color w:val="64748B"/>
          <w:kern w:val="0"/>
          <w:sz w:val="20"/>
          <w:szCs w:val="20"/>
          <w14:ligatures w14:val="none"/>
        </w:rPr>
      </w:pPr>
      <w:r w:rsidRPr="00F65FC4">
        <w:rPr>
          <w:rFonts w:ascii="Calibri" w:eastAsia="Times New Roman" w:hAnsi="Calibri" w:cs="Calibri"/>
          <w:i/>
          <w:iCs/>
          <w:color w:val="64748B"/>
          <w:kern w:val="0"/>
          <w:sz w:val="20"/>
          <w:szCs w:val="20"/>
          <w14:ligatures w14:val="none"/>
        </w:rPr>
        <w:t>Formula: Operating Income ÷ Revenue</w:t>
      </w:r>
    </w:p>
    <w:p w14:paraId="728E305E" w14:textId="77777777" w:rsidR="00F65FC4" w:rsidRPr="00F65FC4" w:rsidRDefault="00F65FC4" w:rsidP="00F65FC4">
      <w:pPr>
        <w:shd w:val="clear" w:color="auto" w:fill="F8FAFC"/>
        <w:spacing w:after="150" w:line="240" w:lineRule="auto"/>
        <w:rPr>
          <w:rFonts w:ascii="Calibri" w:eastAsia="Times New Roman" w:hAnsi="Calibri" w:cs="Calibri"/>
          <w:b/>
          <w:bCs/>
          <w:color w:val="2C2C2C"/>
          <w:kern w:val="0"/>
          <w:sz w:val="27"/>
          <w:szCs w:val="27"/>
          <w14:ligatures w14:val="none"/>
        </w:rPr>
      </w:pPr>
      <w:r w:rsidRPr="00F65FC4">
        <w:rPr>
          <w:rFonts w:ascii="Calibri" w:eastAsia="Times New Roman" w:hAnsi="Calibri" w:cs="Calibri"/>
          <w:b/>
          <w:bCs/>
          <w:color w:val="2C2C2C"/>
          <w:kern w:val="0"/>
          <w:sz w:val="27"/>
          <w:szCs w:val="27"/>
          <w14:ligatures w14:val="none"/>
        </w:rPr>
        <w:t>2023: $12,863M ÷ $88,898M = 14.5%</w:t>
      </w:r>
      <w:r w:rsidRPr="00F65FC4">
        <w:rPr>
          <w:rFonts w:ascii="Calibri" w:eastAsia="Times New Roman" w:hAnsi="Calibri" w:cs="Calibri"/>
          <w:b/>
          <w:bCs/>
          <w:color w:val="2C2C2C"/>
          <w:kern w:val="0"/>
          <w:sz w:val="27"/>
          <w:szCs w:val="27"/>
          <w14:ligatures w14:val="none"/>
        </w:rPr>
        <w:br/>
        <w:t>2022: $8,316M ÷ $82,722M = 10.1%</w:t>
      </w:r>
    </w:p>
    <w:p w14:paraId="53E26BD3" w14:textId="77777777" w:rsidR="00F65FC4" w:rsidRPr="00F65FC4" w:rsidRDefault="00F65FC4" w:rsidP="00F65FC4">
      <w:pPr>
        <w:shd w:val="clear" w:color="auto" w:fill="F8FAFC"/>
        <w:spacing w:line="240" w:lineRule="auto"/>
        <w:rPr>
          <w:rFonts w:ascii="Calibri" w:eastAsia="Times New Roman" w:hAnsi="Calibri" w:cs="Calibri"/>
          <w:color w:val="2C2C2C"/>
          <w:kern w:val="0"/>
          <w:sz w:val="27"/>
          <w:szCs w:val="27"/>
          <w14:ligatures w14:val="none"/>
        </w:rPr>
      </w:pPr>
      <w:r w:rsidRPr="00F65FC4">
        <w:rPr>
          <w:rFonts w:ascii="Calibri" w:eastAsia="Times New Roman" w:hAnsi="Calibri" w:cs="Calibri"/>
          <w:color w:val="2C2C2C"/>
          <w:kern w:val="0"/>
          <w:sz w:val="27"/>
          <w:szCs w:val="27"/>
          <w14:ligatures w14:val="none"/>
        </w:rPr>
        <w:t>For every dollar a family spends at Disney, 14.5 cents becomes operating profit—up from 10.1 cents. That 4.4-point surge? That's the sound of streaming losses shrinking while park prices soar. It's financial engineering disguised as magic. Disney's proving that pricing power in entertainment is like compound interest: slow at first, then suddenly inevitable.</w:t>
      </w:r>
    </w:p>
    <w:p w14:paraId="304F6A3A" w14:textId="77777777" w:rsidR="00F65FC4" w:rsidRPr="00F65FC4" w:rsidRDefault="00F65FC4" w:rsidP="00F65FC4">
      <w:pPr>
        <w:pBdr>
          <w:bottom w:val="single" w:sz="6" w:space="4" w:color="E5E7EB"/>
        </w:pBdr>
        <w:shd w:val="clear" w:color="auto" w:fill="F0F9FF"/>
        <w:spacing w:after="225" w:line="240" w:lineRule="auto"/>
        <w:outlineLvl w:val="1"/>
        <w:rPr>
          <w:rFonts w:ascii="Calibri" w:eastAsia="Times New Roman" w:hAnsi="Calibri" w:cs="Calibri"/>
          <w:b/>
          <w:bCs/>
          <w:color w:val="1E3A8A"/>
          <w:kern w:val="0"/>
          <w:sz w:val="32"/>
          <w:szCs w:val="32"/>
          <w14:ligatures w14:val="none"/>
        </w:rPr>
      </w:pPr>
      <w:r w:rsidRPr="00F65FC4">
        <w:rPr>
          <w:rFonts w:ascii="Calibri" w:eastAsia="Times New Roman" w:hAnsi="Calibri" w:cs="Calibri"/>
          <w:b/>
          <w:bCs/>
          <w:color w:val="1E3A8A"/>
          <w:kern w:val="0"/>
          <w:sz w:val="32"/>
          <w:szCs w:val="32"/>
          <w14:ligatures w14:val="none"/>
        </w:rPr>
        <w:t>Overall Financial Health Assessment</w:t>
      </w:r>
    </w:p>
    <w:p w14:paraId="71AAEE1C" w14:textId="77777777" w:rsidR="00F65FC4" w:rsidRPr="00F65FC4" w:rsidRDefault="00F65FC4" w:rsidP="00F65FC4">
      <w:pPr>
        <w:shd w:val="clear" w:color="auto" w:fill="F0F9FF"/>
        <w:spacing w:before="100" w:beforeAutospacing="1" w:after="225" w:line="240" w:lineRule="auto"/>
        <w:jc w:val="both"/>
        <w:rPr>
          <w:rFonts w:ascii="Calibri" w:eastAsia="Times New Roman" w:hAnsi="Calibri" w:cs="Calibri"/>
          <w:color w:val="2C2C2C"/>
          <w:kern w:val="0"/>
          <w:sz w:val="27"/>
          <w:szCs w:val="27"/>
          <w14:ligatures w14:val="none"/>
        </w:rPr>
      </w:pPr>
      <w:r w:rsidRPr="00F65FC4">
        <w:rPr>
          <w:rFonts w:ascii="Calibri" w:eastAsia="Times New Roman" w:hAnsi="Calibri" w:cs="Calibri"/>
          <w:color w:val="2C2C2C"/>
          <w:kern w:val="0"/>
          <w:sz w:val="27"/>
          <w:szCs w:val="27"/>
          <w14:ligatures w14:val="none"/>
        </w:rPr>
        <w:lastRenderedPageBreak/>
        <w:t>Disney's financial health reveals a masterclass in controlled transformation. The numbers expose a company simultaneously playing defense (deleveraging from 0.51 to 0.46 debt-to-equity) and offense (operating margin exploding from 10.1% to 14.5%). They're converting pandemic survival mode into experience-economy dominance, turning the streaming bleed into breathing.</w:t>
      </w:r>
    </w:p>
    <w:p w14:paraId="457DAD78" w14:textId="77777777" w:rsidR="00F65FC4" w:rsidRPr="00F65FC4" w:rsidRDefault="00F65FC4" w:rsidP="00F65FC4">
      <w:pPr>
        <w:shd w:val="clear" w:color="auto" w:fill="F0F9FF"/>
        <w:spacing w:before="100" w:beforeAutospacing="1" w:after="225" w:line="240" w:lineRule="auto"/>
        <w:jc w:val="both"/>
        <w:rPr>
          <w:rFonts w:ascii="Calibri" w:eastAsia="Times New Roman" w:hAnsi="Calibri" w:cs="Calibri"/>
          <w:color w:val="2C2C2C"/>
          <w:kern w:val="0"/>
          <w:sz w:val="27"/>
          <w:szCs w:val="27"/>
          <w14:ligatures w14:val="none"/>
        </w:rPr>
      </w:pPr>
      <w:r w:rsidRPr="00F65FC4">
        <w:rPr>
          <w:rFonts w:ascii="Calibri" w:eastAsia="Times New Roman" w:hAnsi="Calibri" w:cs="Calibri"/>
          <w:color w:val="2C2C2C"/>
          <w:kern w:val="0"/>
          <w:sz w:val="27"/>
          <w:szCs w:val="27"/>
          <w14:ligatures w14:val="none"/>
        </w:rPr>
        <w:t>Here's what the ratios really say: Disney has weaponized nostalgia into a subscription model. The sub-1.0 liquidity ratios that would terrify traditional analysts? They're features, not bugs. When you can predict revenue with military precision—from park attendance algorithms to merchandise tie-ins with content releases—excess liquidity is vanity. Disney isn't just financially healthy; they're evolutionarily superior. While competitors fight for attention, Disney owns the childhood memories that determine what "attention" even means. At these leverage levels, with these IP moats, Disney isn't winning the entertainment wars. They're rewriting the rules of engagement. Every MBA can read a balance sheet. But Disney's figured out how to put a balance sheet inside your dreams.</w:t>
      </w:r>
    </w:p>
    <w:p w14:paraId="0174B3D5" w14:textId="77777777" w:rsidR="00F65FC4" w:rsidRPr="00F65FC4" w:rsidRDefault="00F65FC4" w:rsidP="00F65FC4">
      <w:pPr>
        <w:pBdr>
          <w:bottom w:val="single" w:sz="6" w:space="4" w:color="E5E7EB"/>
        </w:pBdr>
        <w:spacing w:after="225" w:line="240" w:lineRule="auto"/>
        <w:outlineLvl w:val="1"/>
        <w:rPr>
          <w:rFonts w:ascii="Calibri" w:eastAsia="Times New Roman" w:hAnsi="Calibri" w:cs="Calibri"/>
          <w:b/>
          <w:bCs/>
          <w:color w:val="1E3A8A"/>
          <w:kern w:val="0"/>
          <w:sz w:val="32"/>
          <w:szCs w:val="32"/>
          <w14:ligatures w14:val="none"/>
        </w:rPr>
      </w:pPr>
      <w:r w:rsidRPr="00F65FC4">
        <w:rPr>
          <w:rFonts w:ascii="Calibri" w:eastAsia="Times New Roman" w:hAnsi="Calibri" w:cs="Calibri"/>
          <w:b/>
          <w:bCs/>
          <w:color w:val="1E3A8A"/>
          <w:kern w:val="0"/>
          <w:sz w:val="32"/>
          <w:szCs w:val="32"/>
          <w14:ligatures w14:val="none"/>
        </w:rPr>
        <w:t>References</w:t>
      </w:r>
    </w:p>
    <w:p w14:paraId="64936B57" w14:textId="4E812688" w:rsidR="00244684" w:rsidRPr="00472780" w:rsidRDefault="00F65FC4" w:rsidP="00472780">
      <w:pPr>
        <w:spacing w:before="100" w:beforeAutospacing="1" w:after="225" w:line="240" w:lineRule="auto"/>
        <w:jc w:val="both"/>
        <w:rPr>
          <w:rFonts w:ascii="Calibri" w:eastAsia="Times New Roman" w:hAnsi="Calibri" w:cs="Calibri"/>
          <w:color w:val="2C2C2C"/>
          <w:kern w:val="0"/>
          <w:sz w:val="20"/>
          <w:szCs w:val="20"/>
          <w14:ligatures w14:val="none"/>
        </w:rPr>
      </w:pPr>
      <w:r w:rsidRPr="00F65FC4">
        <w:rPr>
          <w:rFonts w:ascii="Calibri" w:eastAsia="Times New Roman" w:hAnsi="Calibri" w:cs="Calibri"/>
          <w:color w:val="2C2C2C"/>
          <w:kern w:val="0"/>
          <w:sz w:val="20"/>
          <w:szCs w:val="20"/>
          <w14:ligatures w14:val="none"/>
        </w:rPr>
        <w:t>The Walt Disney Company. (2023). </w:t>
      </w:r>
      <w:r w:rsidRPr="00F65FC4">
        <w:rPr>
          <w:rFonts w:ascii="Calibri" w:eastAsia="Times New Roman" w:hAnsi="Calibri" w:cs="Calibri"/>
          <w:i/>
          <w:iCs/>
          <w:color w:val="2C2C2C"/>
          <w:kern w:val="0"/>
          <w:sz w:val="20"/>
          <w:szCs w:val="20"/>
          <w14:ligatures w14:val="none"/>
        </w:rPr>
        <w:t>Annual Report (Form 10-K)</w:t>
      </w:r>
      <w:r w:rsidRPr="00F65FC4">
        <w:rPr>
          <w:rFonts w:ascii="Calibri" w:eastAsia="Times New Roman" w:hAnsi="Calibri" w:cs="Calibri"/>
          <w:color w:val="2C2C2C"/>
          <w:kern w:val="0"/>
          <w:sz w:val="20"/>
          <w:szCs w:val="20"/>
          <w14:ligatures w14:val="none"/>
        </w:rPr>
        <w:t>. Retrieved from SEC EDGAR Database.</w:t>
      </w:r>
      <w:r w:rsidRPr="00F65FC4">
        <w:rPr>
          <w:rFonts w:ascii="Calibri" w:eastAsia="Times New Roman" w:hAnsi="Calibri" w:cs="Calibri"/>
          <w:color w:val="2C2C2C"/>
          <w:kern w:val="0"/>
          <w:sz w:val="20"/>
          <w:szCs w:val="20"/>
          <w14:ligatures w14:val="none"/>
        </w:rPr>
        <w:br/>
        <w:t>The Walt Disney Company. (2022). </w:t>
      </w:r>
      <w:r w:rsidRPr="00F65FC4">
        <w:rPr>
          <w:rFonts w:ascii="Calibri" w:eastAsia="Times New Roman" w:hAnsi="Calibri" w:cs="Calibri"/>
          <w:i/>
          <w:iCs/>
          <w:color w:val="2C2C2C"/>
          <w:kern w:val="0"/>
          <w:sz w:val="20"/>
          <w:szCs w:val="20"/>
          <w14:ligatures w14:val="none"/>
        </w:rPr>
        <w:t>Annual Report (Form 10-K)</w:t>
      </w:r>
      <w:r w:rsidRPr="00F65FC4">
        <w:rPr>
          <w:rFonts w:ascii="Calibri" w:eastAsia="Times New Roman" w:hAnsi="Calibri" w:cs="Calibri"/>
          <w:color w:val="2C2C2C"/>
          <w:kern w:val="0"/>
          <w:sz w:val="20"/>
          <w:szCs w:val="20"/>
          <w14:ligatures w14:val="none"/>
        </w:rPr>
        <w:t>. Retrieved from SEC EDGAR Database.</w:t>
      </w:r>
      <w:r w:rsidRPr="00F65FC4">
        <w:rPr>
          <w:rFonts w:ascii="Calibri" w:eastAsia="Times New Roman" w:hAnsi="Calibri" w:cs="Calibri"/>
          <w:color w:val="2C2C2C"/>
          <w:kern w:val="0"/>
          <w:sz w:val="20"/>
          <w:szCs w:val="20"/>
          <w14:ligatures w14:val="none"/>
        </w:rPr>
        <w:br/>
        <w:t>Yahoo Finance. (2024). The Walt Disney Company (DIS) Company Profile. Retrieved from https://finance.yahoo.com/quote/DIS/profile</w:t>
      </w:r>
      <w:r w:rsidRPr="00F65FC4">
        <w:rPr>
          <w:rFonts w:ascii="Calibri" w:eastAsia="Times New Roman" w:hAnsi="Calibri" w:cs="Calibri"/>
          <w:color w:val="2C2C2C"/>
          <w:kern w:val="0"/>
          <w:sz w:val="20"/>
          <w:szCs w:val="20"/>
          <w14:ligatures w14:val="none"/>
        </w:rPr>
        <w:br/>
        <w:t>Additional insights derived from pattern recognition analysis comparing entertainment industry financial rhythms to defensive play-calling strategies.</w:t>
      </w:r>
    </w:p>
    <w:sectPr w:rsidR="00244684" w:rsidRPr="00472780" w:rsidSect="00FC6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C4"/>
    <w:rsid w:val="00086733"/>
    <w:rsid w:val="00244684"/>
    <w:rsid w:val="0037258D"/>
    <w:rsid w:val="00440A8B"/>
    <w:rsid w:val="00472780"/>
    <w:rsid w:val="00662311"/>
    <w:rsid w:val="00866E0B"/>
    <w:rsid w:val="008A3A69"/>
    <w:rsid w:val="00A64FDF"/>
    <w:rsid w:val="00B77DF1"/>
    <w:rsid w:val="00DD2213"/>
    <w:rsid w:val="00E63963"/>
    <w:rsid w:val="00F65FC4"/>
    <w:rsid w:val="00FC6CF4"/>
    <w:rsid w:val="00FF0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6D13D3"/>
  <w14:defaultImageDpi w14:val="32767"/>
  <w15:chartTrackingRefBased/>
  <w15:docId w15:val="{404D9A9C-40A8-FA4E-BD8E-21442A896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5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5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FC4"/>
    <w:rPr>
      <w:rFonts w:eastAsiaTheme="majorEastAsia" w:cstheme="majorBidi"/>
      <w:color w:val="272727" w:themeColor="text1" w:themeTint="D8"/>
    </w:rPr>
  </w:style>
  <w:style w:type="paragraph" w:styleId="Title">
    <w:name w:val="Title"/>
    <w:basedOn w:val="Normal"/>
    <w:next w:val="Normal"/>
    <w:link w:val="TitleChar"/>
    <w:uiPriority w:val="10"/>
    <w:qFormat/>
    <w:rsid w:val="00F65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FC4"/>
    <w:pPr>
      <w:spacing w:before="160"/>
      <w:jc w:val="center"/>
    </w:pPr>
    <w:rPr>
      <w:i/>
      <w:iCs/>
      <w:color w:val="404040" w:themeColor="text1" w:themeTint="BF"/>
    </w:rPr>
  </w:style>
  <w:style w:type="character" w:customStyle="1" w:styleId="QuoteChar">
    <w:name w:val="Quote Char"/>
    <w:basedOn w:val="DefaultParagraphFont"/>
    <w:link w:val="Quote"/>
    <w:uiPriority w:val="29"/>
    <w:rsid w:val="00F65FC4"/>
    <w:rPr>
      <w:i/>
      <w:iCs/>
      <w:color w:val="404040" w:themeColor="text1" w:themeTint="BF"/>
    </w:rPr>
  </w:style>
  <w:style w:type="paragraph" w:styleId="ListParagraph">
    <w:name w:val="List Paragraph"/>
    <w:basedOn w:val="Normal"/>
    <w:uiPriority w:val="34"/>
    <w:qFormat/>
    <w:rsid w:val="00F65FC4"/>
    <w:pPr>
      <w:ind w:left="720"/>
      <w:contextualSpacing/>
    </w:pPr>
  </w:style>
  <w:style w:type="character" w:styleId="IntenseEmphasis">
    <w:name w:val="Intense Emphasis"/>
    <w:basedOn w:val="DefaultParagraphFont"/>
    <w:uiPriority w:val="21"/>
    <w:qFormat/>
    <w:rsid w:val="00F65FC4"/>
    <w:rPr>
      <w:i/>
      <w:iCs/>
      <w:color w:val="0F4761" w:themeColor="accent1" w:themeShade="BF"/>
    </w:rPr>
  </w:style>
  <w:style w:type="paragraph" w:styleId="IntenseQuote">
    <w:name w:val="Intense Quote"/>
    <w:basedOn w:val="Normal"/>
    <w:next w:val="Normal"/>
    <w:link w:val="IntenseQuoteChar"/>
    <w:uiPriority w:val="30"/>
    <w:qFormat/>
    <w:rsid w:val="00F65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FC4"/>
    <w:rPr>
      <w:i/>
      <w:iCs/>
      <w:color w:val="0F4761" w:themeColor="accent1" w:themeShade="BF"/>
    </w:rPr>
  </w:style>
  <w:style w:type="character" w:styleId="IntenseReference">
    <w:name w:val="Intense Reference"/>
    <w:basedOn w:val="DefaultParagraphFont"/>
    <w:uiPriority w:val="32"/>
    <w:qFormat/>
    <w:rsid w:val="00F65FC4"/>
    <w:rPr>
      <w:b/>
      <w:bCs/>
      <w:smallCaps/>
      <w:color w:val="0F4761" w:themeColor="accent1" w:themeShade="BF"/>
      <w:spacing w:val="5"/>
    </w:rPr>
  </w:style>
  <w:style w:type="character" w:styleId="Strong">
    <w:name w:val="Strong"/>
    <w:basedOn w:val="DefaultParagraphFont"/>
    <w:uiPriority w:val="22"/>
    <w:qFormat/>
    <w:rsid w:val="00F65FC4"/>
    <w:rPr>
      <w:b/>
      <w:bCs/>
    </w:rPr>
  </w:style>
  <w:style w:type="paragraph" w:styleId="NormalWeb">
    <w:name w:val="Normal (Web)"/>
    <w:basedOn w:val="Normal"/>
    <w:uiPriority w:val="99"/>
    <w:semiHidden/>
    <w:unhideWhenUsed/>
    <w:rsid w:val="00F65F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65F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519455">
      <w:bodyDiv w:val="1"/>
      <w:marLeft w:val="0"/>
      <w:marRight w:val="0"/>
      <w:marTop w:val="0"/>
      <w:marBottom w:val="0"/>
      <w:divBdr>
        <w:top w:val="none" w:sz="0" w:space="0" w:color="auto"/>
        <w:left w:val="none" w:sz="0" w:space="0" w:color="auto"/>
        <w:bottom w:val="none" w:sz="0" w:space="0" w:color="auto"/>
        <w:right w:val="none" w:sz="0" w:space="0" w:color="auto"/>
      </w:divBdr>
      <w:divsChild>
        <w:div w:id="1046948836">
          <w:marLeft w:val="0"/>
          <w:marRight w:val="0"/>
          <w:marTop w:val="0"/>
          <w:marBottom w:val="450"/>
          <w:divBdr>
            <w:top w:val="none" w:sz="0" w:space="0" w:color="auto"/>
            <w:left w:val="none" w:sz="0" w:space="0" w:color="auto"/>
            <w:bottom w:val="single" w:sz="12" w:space="15" w:color="1E3A8A"/>
            <w:right w:val="none" w:sz="0" w:space="0" w:color="auto"/>
          </w:divBdr>
          <w:divsChild>
            <w:div w:id="1594585491">
              <w:marLeft w:val="0"/>
              <w:marRight w:val="0"/>
              <w:marTop w:val="0"/>
              <w:marBottom w:val="0"/>
              <w:divBdr>
                <w:top w:val="none" w:sz="0" w:space="0" w:color="auto"/>
                <w:left w:val="none" w:sz="0" w:space="0" w:color="auto"/>
                <w:bottom w:val="none" w:sz="0" w:space="0" w:color="auto"/>
                <w:right w:val="none" w:sz="0" w:space="0" w:color="auto"/>
              </w:divBdr>
            </w:div>
          </w:divsChild>
        </w:div>
        <w:div w:id="1608809643">
          <w:marLeft w:val="0"/>
          <w:marRight w:val="0"/>
          <w:marTop w:val="0"/>
          <w:marBottom w:val="450"/>
          <w:divBdr>
            <w:top w:val="none" w:sz="0" w:space="0" w:color="auto"/>
            <w:left w:val="none" w:sz="0" w:space="0" w:color="auto"/>
            <w:bottom w:val="none" w:sz="0" w:space="0" w:color="auto"/>
            <w:right w:val="none" w:sz="0" w:space="0" w:color="auto"/>
          </w:divBdr>
        </w:div>
        <w:div w:id="1196504082">
          <w:marLeft w:val="0"/>
          <w:marRight w:val="0"/>
          <w:marTop w:val="450"/>
          <w:marBottom w:val="300"/>
          <w:divBdr>
            <w:top w:val="none" w:sz="0" w:space="0" w:color="auto"/>
            <w:left w:val="none" w:sz="0" w:space="0" w:color="auto"/>
            <w:bottom w:val="none" w:sz="0" w:space="0" w:color="auto"/>
            <w:right w:val="none" w:sz="0" w:space="0" w:color="auto"/>
          </w:divBdr>
        </w:div>
        <w:div w:id="199051586">
          <w:marLeft w:val="0"/>
          <w:marRight w:val="0"/>
          <w:marTop w:val="300"/>
          <w:marBottom w:val="300"/>
          <w:divBdr>
            <w:top w:val="none" w:sz="0" w:space="0" w:color="auto"/>
            <w:left w:val="single" w:sz="24" w:space="11" w:color="3B82F6"/>
            <w:bottom w:val="none" w:sz="0" w:space="0" w:color="auto"/>
            <w:right w:val="none" w:sz="0" w:space="0" w:color="auto"/>
          </w:divBdr>
          <w:divsChild>
            <w:div w:id="966928898">
              <w:marLeft w:val="0"/>
              <w:marRight w:val="0"/>
              <w:marTop w:val="0"/>
              <w:marBottom w:val="75"/>
              <w:divBdr>
                <w:top w:val="none" w:sz="0" w:space="0" w:color="auto"/>
                <w:left w:val="none" w:sz="0" w:space="0" w:color="auto"/>
                <w:bottom w:val="none" w:sz="0" w:space="0" w:color="auto"/>
                <w:right w:val="none" w:sz="0" w:space="0" w:color="auto"/>
              </w:divBdr>
            </w:div>
            <w:div w:id="735591442">
              <w:marLeft w:val="0"/>
              <w:marRight w:val="0"/>
              <w:marTop w:val="0"/>
              <w:marBottom w:val="75"/>
              <w:divBdr>
                <w:top w:val="none" w:sz="0" w:space="0" w:color="auto"/>
                <w:left w:val="none" w:sz="0" w:space="0" w:color="auto"/>
                <w:bottom w:val="none" w:sz="0" w:space="0" w:color="auto"/>
                <w:right w:val="none" w:sz="0" w:space="0" w:color="auto"/>
              </w:divBdr>
            </w:div>
            <w:div w:id="324359774">
              <w:marLeft w:val="0"/>
              <w:marRight w:val="0"/>
              <w:marTop w:val="150"/>
              <w:marBottom w:val="150"/>
              <w:divBdr>
                <w:top w:val="none" w:sz="0" w:space="0" w:color="auto"/>
                <w:left w:val="none" w:sz="0" w:space="0" w:color="auto"/>
                <w:bottom w:val="none" w:sz="0" w:space="0" w:color="auto"/>
                <w:right w:val="none" w:sz="0" w:space="0" w:color="auto"/>
              </w:divBdr>
            </w:div>
            <w:div w:id="2012246915">
              <w:marLeft w:val="0"/>
              <w:marRight w:val="0"/>
              <w:marTop w:val="150"/>
              <w:marBottom w:val="0"/>
              <w:divBdr>
                <w:top w:val="none" w:sz="0" w:space="0" w:color="auto"/>
                <w:left w:val="none" w:sz="0" w:space="0" w:color="auto"/>
                <w:bottom w:val="none" w:sz="0" w:space="0" w:color="auto"/>
                <w:right w:val="none" w:sz="0" w:space="0" w:color="auto"/>
              </w:divBdr>
            </w:div>
          </w:divsChild>
        </w:div>
        <w:div w:id="1421873862">
          <w:marLeft w:val="0"/>
          <w:marRight w:val="0"/>
          <w:marTop w:val="300"/>
          <w:marBottom w:val="300"/>
          <w:divBdr>
            <w:top w:val="none" w:sz="0" w:space="0" w:color="auto"/>
            <w:left w:val="single" w:sz="24" w:space="11" w:color="3B82F6"/>
            <w:bottom w:val="none" w:sz="0" w:space="0" w:color="auto"/>
            <w:right w:val="none" w:sz="0" w:space="0" w:color="auto"/>
          </w:divBdr>
          <w:divsChild>
            <w:div w:id="1977954271">
              <w:marLeft w:val="0"/>
              <w:marRight w:val="0"/>
              <w:marTop w:val="0"/>
              <w:marBottom w:val="75"/>
              <w:divBdr>
                <w:top w:val="none" w:sz="0" w:space="0" w:color="auto"/>
                <w:left w:val="none" w:sz="0" w:space="0" w:color="auto"/>
                <w:bottom w:val="none" w:sz="0" w:space="0" w:color="auto"/>
                <w:right w:val="none" w:sz="0" w:space="0" w:color="auto"/>
              </w:divBdr>
            </w:div>
            <w:div w:id="28726689">
              <w:marLeft w:val="0"/>
              <w:marRight w:val="0"/>
              <w:marTop w:val="0"/>
              <w:marBottom w:val="75"/>
              <w:divBdr>
                <w:top w:val="none" w:sz="0" w:space="0" w:color="auto"/>
                <w:left w:val="none" w:sz="0" w:space="0" w:color="auto"/>
                <w:bottom w:val="none" w:sz="0" w:space="0" w:color="auto"/>
                <w:right w:val="none" w:sz="0" w:space="0" w:color="auto"/>
              </w:divBdr>
            </w:div>
            <w:div w:id="676544138">
              <w:marLeft w:val="0"/>
              <w:marRight w:val="0"/>
              <w:marTop w:val="150"/>
              <w:marBottom w:val="150"/>
              <w:divBdr>
                <w:top w:val="none" w:sz="0" w:space="0" w:color="auto"/>
                <w:left w:val="none" w:sz="0" w:space="0" w:color="auto"/>
                <w:bottom w:val="none" w:sz="0" w:space="0" w:color="auto"/>
                <w:right w:val="none" w:sz="0" w:space="0" w:color="auto"/>
              </w:divBdr>
            </w:div>
            <w:div w:id="1280262047">
              <w:marLeft w:val="0"/>
              <w:marRight w:val="0"/>
              <w:marTop w:val="150"/>
              <w:marBottom w:val="0"/>
              <w:divBdr>
                <w:top w:val="none" w:sz="0" w:space="0" w:color="auto"/>
                <w:left w:val="none" w:sz="0" w:space="0" w:color="auto"/>
                <w:bottom w:val="none" w:sz="0" w:space="0" w:color="auto"/>
                <w:right w:val="none" w:sz="0" w:space="0" w:color="auto"/>
              </w:divBdr>
            </w:div>
          </w:divsChild>
        </w:div>
        <w:div w:id="1179080512">
          <w:marLeft w:val="0"/>
          <w:marRight w:val="0"/>
          <w:marTop w:val="450"/>
          <w:marBottom w:val="300"/>
          <w:divBdr>
            <w:top w:val="none" w:sz="0" w:space="0" w:color="auto"/>
            <w:left w:val="none" w:sz="0" w:space="0" w:color="auto"/>
            <w:bottom w:val="none" w:sz="0" w:space="0" w:color="auto"/>
            <w:right w:val="none" w:sz="0" w:space="0" w:color="auto"/>
          </w:divBdr>
        </w:div>
        <w:div w:id="2021397069">
          <w:marLeft w:val="0"/>
          <w:marRight w:val="0"/>
          <w:marTop w:val="300"/>
          <w:marBottom w:val="300"/>
          <w:divBdr>
            <w:top w:val="none" w:sz="0" w:space="0" w:color="auto"/>
            <w:left w:val="single" w:sz="24" w:space="11" w:color="3B82F6"/>
            <w:bottom w:val="none" w:sz="0" w:space="0" w:color="auto"/>
            <w:right w:val="none" w:sz="0" w:space="0" w:color="auto"/>
          </w:divBdr>
          <w:divsChild>
            <w:div w:id="1172725428">
              <w:marLeft w:val="0"/>
              <w:marRight w:val="0"/>
              <w:marTop w:val="0"/>
              <w:marBottom w:val="75"/>
              <w:divBdr>
                <w:top w:val="none" w:sz="0" w:space="0" w:color="auto"/>
                <w:left w:val="none" w:sz="0" w:space="0" w:color="auto"/>
                <w:bottom w:val="none" w:sz="0" w:space="0" w:color="auto"/>
                <w:right w:val="none" w:sz="0" w:space="0" w:color="auto"/>
              </w:divBdr>
            </w:div>
            <w:div w:id="1199319259">
              <w:marLeft w:val="0"/>
              <w:marRight w:val="0"/>
              <w:marTop w:val="0"/>
              <w:marBottom w:val="75"/>
              <w:divBdr>
                <w:top w:val="none" w:sz="0" w:space="0" w:color="auto"/>
                <w:left w:val="none" w:sz="0" w:space="0" w:color="auto"/>
                <w:bottom w:val="none" w:sz="0" w:space="0" w:color="auto"/>
                <w:right w:val="none" w:sz="0" w:space="0" w:color="auto"/>
              </w:divBdr>
            </w:div>
            <w:div w:id="1847474683">
              <w:marLeft w:val="0"/>
              <w:marRight w:val="0"/>
              <w:marTop w:val="150"/>
              <w:marBottom w:val="150"/>
              <w:divBdr>
                <w:top w:val="none" w:sz="0" w:space="0" w:color="auto"/>
                <w:left w:val="none" w:sz="0" w:space="0" w:color="auto"/>
                <w:bottom w:val="none" w:sz="0" w:space="0" w:color="auto"/>
                <w:right w:val="none" w:sz="0" w:space="0" w:color="auto"/>
              </w:divBdr>
            </w:div>
            <w:div w:id="2122872630">
              <w:marLeft w:val="0"/>
              <w:marRight w:val="0"/>
              <w:marTop w:val="150"/>
              <w:marBottom w:val="0"/>
              <w:divBdr>
                <w:top w:val="none" w:sz="0" w:space="0" w:color="auto"/>
                <w:left w:val="none" w:sz="0" w:space="0" w:color="auto"/>
                <w:bottom w:val="none" w:sz="0" w:space="0" w:color="auto"/>
                <w:right w:val="none" w:sz="0" w:space="0" w:color="auto"/>
              </w:divBdr>
            </w:div>
          </w:divsChild>
        </w:div>
        <w:div w:id="1004016044">
          <w:marLeft w:val="0"/>
          <w:marRight w:val="0"/>
          <w:marTop w:val="300"/>
          <w:marBottom w:val="300"/>
          <w:divBdr>
            <w:top w:val="none" w:sz="0" w:space="0" w:color="auto"/>
            <w:left w:val="single" w:sz="24" w:space="11" w:color="3B82F6"/>
            <w:bottom w:val="none" w:sz="0" w:space="0" w:color="auto"/>
            <w:right w:val="none" w:sz="0" w:space="0" w:color="auto"/>
          </w:divBdr>
          <w:divsChild>
            <w:div w:id="463081576">
              <w:marLeft w:val="0"/>
              <w:marRight w:val="0"/>
              <w:marTop w:val="0"/>
              <w:marBottom w:val="75"/>
              <w:divBdr>
                <w:top w:val="none" w:sz="0" w:space="0" w:color="auto"/>
                <w:left w:val="none" w:sz="0" w:space="0" w:color="auto"/>
                <w:bottom w:val="none" w:sz="0" w:space="0" w:color="auto"/>
                <w:right w:val="none" w:sz="0" w:space="0" w:color="auto"/>
              </w:divBdr>
            </w:div>
            <w:div w:id="2118477715">
              <w:marLeft w:val="0"/>
              <w:marRight w:val="0"/>
              <w:marTop w:val="0"/>
              <w:marBottom w:val="75"/>
              <w:divBdr>
                <w:top w:val="none" w:sz="0" w:space="0" w:color="auto"/>
                <w:left w:val="none" w:sz="0" w:space="0" w:color="auto"/>
                <w:bottom w:val="none" w:sz="0" w:space="0" w:color="auto"/>
                <w:right w:val="none" w:sz="0" w:space="0" w:color="auto"/>
              </w:divBdr>
            </w:div>
            <w:div w:id="213273772">
              <w:marLeft w:val="0"/>
              <w:marRight w:val="0"/>
              <w:marTop w:val="150"/>
              <w:marBottom w:val="150"/>
              <w:divBdr>
                <w:top w:val="none" w:sz="0" w:space="0" w:color="auto"/>
                <w:left w:val="none" w:sz="0" w:space="0" w:color="auto"/>
                <w:bottom w:val="none" w:sz="0" w:space="0" w:color="auto"/>
                <w:right w:val="none" w:sz="0" w:space="0" w:color="auto"/>
              </w:divBdr>
            </w:div>
            <w:div w:id="2012440374">
              <w:marLeft w:val="0"/>
              <w:marRight w:val="0"/>
              <w:marTop w:val="150"/>
              <w:marBottom w:val="0"/>
              <w:divBdr>
                <w:top w:val="none" w:sz="0" w:space="0" w:color="auto"/>
                <w:left w:val="none" w:sz="0" w:space="0" w:color="auto"/>
                <w:bottom w:val="none" w:sz="0" w:space="0" w:color="auto"/>
                <w:right w:val="none" w:sz="0" w:space="0" w:color="auto"/>
              </w:divBdr>
            </w:div>
          </w:divsChild>
        </w:div>
        <w:div w:id="210116012">
          <w:marLeft w:val="0"/>
          <w:marRight w:val="0"/>
          <w:marTop w:val="450"/>
          <w:marBottom w:val="300"/>
          <w:divBdr>
            <w:top w:val="none" w:sz="0" w:space="0" w:color="auto"/>
            <w:left w:val="none" w:sz="0" w:space="0" w:color="auto"/>
            <w:bottom w:val="none" w:sz="0" w:space="0" w:color="auto"/>
            <w:right w:val="none" w:sz="0" w:space="0" w:color="auto"/>
          </w:divBdr>
        </w:div>
        <w:div w:id="2113435055">
          <w:marLeft w:val="0"/>
          <w:marRight w:val="0"/>
          <w:marTop w:val="300"/>
          <w:marBottom w:val="300"/>
          <w:divBdr>
            <w:top w:val="none" w:sz="0" w:space="0" w:color="auto"/>
            <w:left w:val="single" w:sz="24" w:space="11" w:color="3B82F6"/>
            <w:bottom w:val="none" w:sz="0" w:space="0" w:color="auto"/>
            <w:right w:val="none" w:sz="0" w:space="0" w:color="auto"/>
          </w:divBdr>
          <w:divsChild>
            <w:div w:id="1750806502">
              <w:marLeft w:val="0"/>
              <w:marRight w:val="0"/>
              <w:marTop w:val="0"/>
              <w:marBottom w:val="75"/>
              <w:divBdr>
                <w:top w:val="none" w:sz="0" w:space="0" w:color="auto"/>
                <w:left w:val="none" w:sz="0" w:space="0" w:color="auto"/>
                <w:bottom w:val="none" w:sz="0" w:space="0" w:color="auto"/>
                <w:right w:val="none" w:sz="0" w:space="0" w:color="auto"/>
              </w:divBdr>
            </w:div>
            <w:div w:id="526721069">
              <w:marLeft w:val="0"/>
              <w:marRight w:val="0"/>
              <w:marTop w:val="0"/>
              <w:marBottom w:val="75"/>
              <w:divBdr>
                <w:top w:val="none" w:sz="0" w:space="0" w:color="auto"/>
                <w:left w:val="none" w:sz="0" w:space="0" w:color="auto"/>
                <w:bottom w:val="none" w:sz="0" w:space="0" w:color="auto"/>
                <w:right w:val="none" w:sz="0" w:space="0" w:color="auto"/>
              </w:divBdr>
            </w:div>
            <w:div w:id="1574121111">
              <w:marLeft w:val="0"/>
              <w:marRight w:val="0"/>
              <w:marTop w:val="150"/>
              <w:marBottom w:val="150"/>
              <w:divBdr>
                <w:top w:val="none" w:sz="0" w:space="0" w:color="auto"/>
                <w:left w:val="none" w:sz="0" w:space="0" w:color="auto"/>
                <w:bottom w:val="none" w:sz="0" w:space="0" w:color="auto"/>
                <w:right w:val="none" w:sz="0" w:space="0" w:color="auto"/>
              </w:divBdr>
            </w:div>
            <w:div w:id="1871914690">
              <w:marLeft w:val="0"/>
              <w:marRight w:val="0"/>
              <w:marTop w:val="150"/>
              <w:marBottom w:val="0"/>
              <w:divBdr>
                <w:top w:val="none" w:sz="0" w:space="0" w:color="auto"/>
                <w:left w:val="none" w:sz="0" w:space="0" w:color="auto"/>
                <w:bottom w:val="none" w:sz="0" w:space="0" w:color="auto"/>
                <w:right w:val="none" w:sz="0" w:space="0" w:color="auto"/>
              </w:divBdr>
            </w:div>
          </w:divsChild>
        </w:div>
        <w:div w:id="495733073">
          <w:marLeft w:val="0"/>
          <w:marRight w:val="0"/>
          <w:marTop w:val="300"/>
          <w:marBottom w:val="300"/>
          <w:divBdr>
            <w:top w:val="none" w:sz="0" w:space="0" w:color="auto"/>
            <w:left w:val="single" w:sz="24" w:space="11" w:color="3B82F6"/>
            <w:bottom w:val="none" w:sz="0" w:space="0" w:color="auto"/>
            <w:right w:val="none" w:sz="0" w:space="0" w:color="auto"/>
          </w:divBdr>
          <w:divsChild>
            <w:div w:id="1852986916">
              <w:marLeft w:val="0"/>
              <w:marRight w:val="0"/>
              <w:marTop w:val="0"/>
              <w:marBottom w:val="75"/>
              <w:divBdr>
                <w:top w:val="none" w:sz="0" w:space="0" w:color="auto"/>
                <w:left w:val="none" w:sz="0" w:space="0" w:color="auto"/>
                <w:bottom w:val="none" w:sz="0" w:space="0" w:color="auto"/>
                <w:right w:val="none" w:sz="0" w:space="0" w:color="auto"/>
              </w:divBdr>
            </w:div>
            <w:div w:id="1199314119">
              <w:marLeft w:val="0"/>
              <w:marRight w:val="0"/>
              <w:marTop w:val="0"/>
              <w:marBottom w:val="75"/>
              <w:divBdr>
                <w:top w:val="none" w:sz="0" w:space="0" w:color="auto"/>
                <w:left w:val="none" w:sz="0" w:space="0" w:color="auto"/>
                <w:bottom w:val="none" w:sz="0" w:space="0" w:color="auto"/>
                <w:right w:val="none" w:sz="0" w:space="0" w:color="auto"/>
              </w:divBdr>
            </w:div>
            <w:div w:id="473134339">
              <w:marLeft w:val="0"/>
              <w:marRight w:val="0"/>
              <w:marTop w:val="150"/>
              <w:marBottom w:val="150"/>
              <w:divBdr>
                <w:top w:val="none" w:sz="0" w:space="0" w:color="auto"/>
                <w:left w:val="none" w:sz="0" w:space="0" w:color="auto"/>
                <w:bottom w:val="none" w:sz="0" w:space="0" w:color="auto"/>
                <w:right w:val="none" w:sz="0" w:space="0" w:color="auto"/>
              </w:divBdr>
            </w:div>
            <w:div w:id="576476487">
              <w:marLeft w:val="0"/>
              <w:marRight w:val="0"/>
              <w:marTop w:val="150"/>
              <w:marBottom w:val="0"/>
              <w:divBdr>
                <w:top w:val="none" w:sz="0" w:space="0" w:color="auto"/>
                <w:left w:val="none" w:sz="0" w:space="0" w:color="auto"/>
                <w:bottom w:val="none" w:sz="0" w:space="0" w:color="auto"/>
                <w:right w:val="none" w:sz="0" w:space="0" w:color="auto"/>
              </w:divBdr>
            </w:div>
          </w:divsChild>
        </w:div>
        <w:div w:id="1109661589">
          <w:marLeft w:val="0"/>
          <w:marRight w:val="0"/>
          <w:marTop w:val="450"/>
          <w:marBottom w:val="300"/>
          <w:divBdr>
            <w:top w:val="none" w:sz="0" w:space="0" w:color="auto"/>
            <w:left w:val="none" w:sz="0" w:space="0" w:color="auto"/>
            <w:bottom w:val="none" w:sz="0" w:space="0" w:color="auto"/>
            <w:right w:val="none" w:sz="0" w:space="0" w:color="auto"/>
          </w:divBdr>
        </w:div>
        <w:div w:id="370346045">
          <w:marLeft w:val="0"/>
          <w:marRight w:val="0"/>
          <w:marTop w:val="300"/>
          <w:marBottom w:val="300"/>
          <w:divBdr>
            <w:top w:val="none" w:sz="0" w:space="0" w:color="auto"/>
            <w:left w:val="single" w:sz="24" w:space="11" w:color="3B82F6"/>
            <w:bottom w:val="none" w:sz="0" w:space="0" w:color="auto"/>
            <w:right w:val="none" w:sz="0" w:space="0" w:color="auto"/>
          </w:divBdr>
          <w:divsChild>
            <w:div w:id="1053432578">
              <w:marLeft w:val="0"/>
              <w:marRight w:val="0"/>
              <w:marTop w:val="0"/>
              <w:marBottom w:val="75"/>
              <w:divBdr>
                <w:top w:val="none" w:sz="0" w:space="0" w:color="auto"/>
                <w:left w:val="none" w:sz="0" w:space="0" w:color="auto"/>
                <w:bottom w:val="none" w:sz="0" w:space="0" w:color="auto"/>
                <w:right w:val="none" w:sz="0" w:space="0" w:color="auto"/>
              </w:divBdr>
            </w:div>
            <w:div w:id="999312746">
              <w:marLeft w:val="0"/>
              <w:marRight w:val="0"/>
              <w:marTop w:val="0"/>
              <w:marBottom w:val="75"/>
              <w:divBdr>
                <w:top w:val="none" w:sz="0" w:space="0" w:color="auto"/>
                <w:left w:val="none" w:sz="0" w:space="0" w:color="auto"/>
                <w:bottom w:val="none" w:sz="0" w:space="0" w:color="auto"/>
                <w:right w:val="none" w:sz="0" w:space="0" w:color="auto"/>
              </w:divBdr>
            </w:div>
            <w:div w:id="1845391321">
              <w:marLeft w:val="0"/>
              <w:marRight w:val="0"/>
              <w:marTop w:val="150"/>
              <w:marBottom w:val="150"/>
              <w:divBdr>
                <w:top w:val="none" w:sz="0" w:space="0" w:color="auto"/>
                <w:left w:val="none" w:sz="0" w:space="0" w:color="auto"/>
                <w:bottom w:val="none" w:sz="0" w:space="0" w:color="auto"/>
                <w:right w:val="none" w:sz="0" w:space="0" w:color="auto"/>
              </w:divBdr>
            </w:div>
            <w:div w:id="2015767372">
              <w:marLeft w:val="0"/>
              <w:marRight w:val="0"/>
              <w:marTop w:val="150"/>
              <w:marBottom w:val="0"/>
              <w:divBdr>
                <w:top w:val="none" w:sz="0" w:space="0" w:color="auto"/>
                <w:left w:val="none" w:sz="0" w:space="0" w:color="auto"/>
                <w:bottom w:val="none" w:sz="0" w:space="0" w:color="auto"/>
                <w:right w:val="none" w:sz="0" w:space="0" w:color="auto"/>
              </w:divBdr>
            </w:div>
          </w:divsChild>
        </w:div>
        <w:div w:id="392117064">
          <w:marLeft w:val="0"/>
          <w:marRight w:val="0"/>
          <w:marTop w:val="300"/>
          <w:marBottom w:val="300"/>
          <w:divBdr>
            <w:top w:val="none" w:sz="0" w:space="0" w:color="auto"/>
            <w:left w:val="single" w:sz="24" w:space="11" w:color="3B82F6"/>
            <w:bottom w:val="none" w:sz="0" w:space="0" w:color="auto"/>
            <w:right w:val="none" w:sz="0" w:space="0" w:color="auto"/>
          </w:divBdr>
          <w:divsChild>
            <w:div w:id="331682683">
              <w:marLeft w:val="0"/>
              <w:marRight w:val="0"/>
              <w:marTop w:val="0"/>
              <w:marBottom w:val="75"/>
              <w:divBdr>
                <w:top w:val="none" w:sz="0" w:space="0" w:color="auto"/>
                <w:left w:val="none" w:sz="0" w:space="0" w:color="auto"/>
                <w:bottom w:val="none" w:sz="0" w:space="0" w:color="auto"/>
                <w:right w:val="none" w:sz="0" w:space="0" w:color="auto"/>
              </w:divBdr>
            </w:div>
            <w:div w:id="1960716365">
              <w:marLeft w:val="0"/>
              <w:marRight w:val="0"/>
              <w:marTop w:val="0"/>
              <w:marBottom w:val="75"/>
              <w:divBdr>
                <w:top w:val="none" w:sz="0" w:space="0" w:color="auto"/>
                <w:left w:val="none" w:sz="0" w:space="0" w:color="auto"/>
                <w:bottom w:val="none" w:sz="0" w:space="0" w:color="auto"/>
                <w:right w:val="none" w:sz="0" w:space="0" w:color="auto"/>
              </w:divBdr>
            </w:div>
            <w:div w:id="345518151">
              <w:marLeft w:val="0"/>
              <w:marRight w:val="0"/>
              <w:marTop w:val="150"/>
              <w:marBottom w:val="150"/>
              <w:divBdr>
                <w:top w:val="none" w:sz="0" w:space="0" w:color="auto"/>
                <w:left w:val="none" w:sz="0" w:space="0" w:color="auto"/>
                <w:bottom w:val="none" w:sz="0" w:space="0" w:color="auto"/>
                <w:right w:val="none" w:sz="0" w:space="0" w:color="auto"/>
              </w:divBdr>
            </w:div>
            <w:div w:id="649020268">
              <w:marLeft w:val="0"/>
              <w:marRight w:val="0"/>
              <w:marTop w:val="150"/>
              <w:marBottom w:val="0"/>
              <w:divBdr>
                <w:top w:val="none" w:sz="0" w:space="0" w:color="auto"/>
                <w:left w:val="none" w:sz="0" w:space="0" w:color="auto"/>
                <w:bottom w:val="none" w:sz="0" w:space="0" w:color="auto"/>
                <w:right w:val="none" w:sz="0" w:space="0" w:color="auto"/>
              </w:divBdr>
            </w:div>
          </w:divsChild>
        </w:div>
        <w:div w:id="1121000118">
          <w:marLeft w:val="0"/>
          <w:marRight w:val="0"/>
          <w:marTop w:val="600"/>
          <w:marBottom w:val="0"/>
          <w:divBdr>
            <w:top w:val="single" w:sz="6" w:space="15" w:color="0284C7"/>
            <w:left w:val="single" w:sz="6" w:space="15" w:color="0284C7"/>
            <w:bottom w:val="single" w:sz="6" w:space="15" w:color="0284C7"/>
            <w:right w:val="single" w:sz="6" w:space="15" w:color="0284C7"/>
          </w:divBdr>
        </w:div>
        <w:div w:id="1341540892">
          <w:marLeft w:val="0"/>
          <w:marRight w:val="0"/>
          <w:marTop w:val="600"/>
          <w:marBottom w:val="0"/>
          <w:divBdr>
            <w:top w:val="single" w:sz="6" w:space="15" w:color="E5E7EB"/>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1006</Words>
  <Characters>5739</Characters>
  <Application>Microsoft Office Word</Application>
  <DocSecurity>0</DocSecurity>
  <Lines>47</Lines>
  <Paragraphs>13</Paragraphs>
  <ScaleCrop>false</ScaleCrop>
  <Company/>
  <LinksUpToDate>false</LinksUpToDate>
  <CharactersWithSpaces>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Humphrey</dc:creator>
  <cp:keywords/>
  <dc:description/>
  <cp:lastModifiedBy>John Humphrey</cp:lastModifiedBy>
  <cp:revision>5</cp:revision>
  <dcterms:created xsi:type="dcterms:W3CDTF">2025-06-05T03:58:00Z</dcterms:created>
  <dcterms:modified xsi:type="dcterms:W3CDTF">2025-06-05T04:04:00Z</dcterms:modified>
</cp:coreProperties>
</file>