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before="0" w:after="322"/>
        <w:rPr>
          <w:b/>
          <w:bCs/>
          <w:sz w:val="48"/>
          <w:szCs w:val="48"/>
        </w:rPr>
      </w:pPr>
      <w:r>
        <w:rPr>
          <w:rFonts w:ascii="Times New Roman" w:eastAsia="Times New Roman" w:hAnsi="Times New Roman" w:cs="Times New Roman"/>
          <w:i w:val="0"/>
          <w:color w:val="auto"/>
        </w:rPr>
        <w:t>WINNING STRATEGIES: EMBODYING THE '06 CHAMPIONSHIP ETHOS</w:t>
      </w:r>
    </w:p>
    <w:p>
      <w:pPr>
        <w:spacing w:before="240" w:after="240"/>
      </w:pPr>
      <w:r>
        <w:rPr>
          <w:b/>
          <w:bCs/>
        </w:rPr>
        <w:t>Austin Humphrey</w:t>
      </w:r>
    </w:p>
    <w:p>
      <w:pPr>
        <w:spacing w:before="240" w:after="240"/>
      </w:pPr>
      <w:r>
        <w:rPr>
          <w:b/>
          <w:bCs/>
        </w:rPr>
        <w:t>MAR 6111: Sports Marketing &amp; Sponsorship Sales</w:t>
      </w:r>
    </w:p>
    <w:p>
      <w:pPr>
        <w:spacing w:before="240" w:after="240"/>
      </w:pPr>
      <w:r>
        <w:rPr>
          <w:b/>
          <w:bCs/>
        </w:rPr>
        <w:t>Professor Noel Beaulieu</w:t>
      </w:r>
    </w:p>
    <w:p>
      <w:pPr>
        <w:spacing w:before="240" w:after="240"/>
      </w:pPr>
      <w:r>
        <w:rPr>
          <w:b/>
          <w:bCs/>
        </w:rPr>
        <w:t>April 18, 2025</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Introduction: A Strategic Rebirth</w:t>
      </w:r>
    </w:p>
    <w:p>
      <w:pPr>
        <w:spacing w:before="240" w:after="240"/>
      </w:pPr>
      <w:r>
        <w:t>Just as Tony La Russa's '06 Cardinals embodied resilience and Albert Pujols exemplified meticulous preparation, this analysis distills the cognitive alchemy and underdog spirit that fuels breakthrough performance. By adapting these championship practices—immersive experiences, strategic sponsorships, data-driven personalization—to my performance apparel and training system brand's fan journey, we will manifest the '06 Framework's pillars of belief, adaptability and transformation.</w:t>
      </w:r>
    </w:p>
    <w:p>
      <w:pPr>
        <w:spacing w:before="240" w:after="240"/>
      </w:pPr>
      <w:r>
        <w:t>As the architect of an emerging performance brand rooted in innovative training methodology and immersive storytelling, my mission is to translate the timeless principles of athletic nobility into scalable business sorcery. This strategic transfusion flows from my lifelong allegiance to dynasties of excellence—the 11-time World Champion St. Louis Cardinals, the Tennessee Titans (formerly Houston/Tennessee Oilers), the Texas Longhorns with their 4 NCAA football championships, and perennial contender Memphis Grizzlies. More than a fan, I'm a student of legacies.</w:t>
      </w:r>
    </w:p>
    <w:p>
      <w:pPr>
        <w:spacing w:before="240" w:after="240"/>
      </w:pPr>
      <w:r>
        <w:t>This paper examines three proven sports marketing best practices—immersive experiential marketing, strategic sponsorship activation, and data-driven personalization—that can be applied to business development across multiple industries. Each best practice will be examined through exemplary implementations from my favorite teams, followed by practical application strategies that could transform an emerging brand into an industry leader.</w:t>
      </w:r>
    </w:p>
    <w:p>
      <w:pPr>
        <w:spacing w:before="240" w:after="240"/>
      </w:pPr>
      <w:r>
        <w:t>The championship DNA of these immortals courses through every fiber of our brand ethos. By decoding their transformative practices and distilling their essence through the alchemical '06 Framework, we will rise from mere startup to industry-defining dynasty. This is our strategic rebirth—from undervalued prospect to indomitable contender.</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Best Practice #1: Immersive Experiential Marketing—The Sensory Spectacle</w:t>
      </w:r>
    </w:p>
    <w:p>
      <w:pPr>
        <w:spacing w:before="240" w:after="240"/>
      </w:pPr>
      <w:r>
        <w:t xml:space="preserve">Championship organizations understand that immersive, multi-sensory experiences transform passive spectators into impassioned advocates. According to Thompson (2021), these synesthetic activations outperform traditional advertising by </w:t>
      </w:r>
      <w:r>
        <w:rPr>
          <w:b/>
          <w:bCs/>
        </w:rPr>
        <w:t>30% in brand recall</w:t>
      </w:r>
      <w:r>
        <w:t xml:space="preserve"> and spike social engagement metrics by an astonishing </w:t>
      </w:r>
      <w:r>
        <w:rPr>
          <w:b/>
          <w:bCs/>
        </w:rPr>
        <w:t>40%</w:t>
      </w:r>
      <w:r>
        <w:t>.</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Example A: Texas Longhorns – Bevo Boulevard &amp; Longhorn City Limits</w:t>
      </w:r>
    </w:p>
    <w:p>
      <w:pPr>
        <w:spacing w:before="240" w:after="240"/>
      </w:pPr>
      <w:r>
        <w:t>The electric atmosphere of Bevo Boulevard—alive with the smoky aroma of brisket, the twang of country riffs, and the roar of 100,000 burnt-orange believers filing into DKR—doesn't just amplify gameday euphoria. It imprints indelible brand associations that linger long after the final whistle, much like Vince Young's legendary fourth-down touchdown against USC in the 2006 Rose Bowl that sealed Texas's national championship.</w:t>
      </w:r>
    </w:p>
    <w:p>
      <w:pPr>
        <w:spacing w:before="240" w:after="240"/>
      </w:pPr>
      <w:r>
        <w:t>Since its 2018 debut, this immersive carnival has delivered measurable results:</w:t>
      </w:r>
    </w:p>
    <w:p>
      <w:pPr>
        <w:numPr>
          <w:ilvl w:val="0"/>
          <w:numId w:val="1"/>
        </w:numPr>
        <w:spacing w:before="240"/>
        <w:ind w:left="720" w:hanging="280"/>
        <w:jc w:val="left"/>
      </w:pPr>
      <w:r>
        <w:rPr>
          <w:b/>
          <w:bCs/>
        </w:rPr>
        <w:t>Increased early-arrival rates by 23%</w:t>
      </w:r>
      <w:r>
        <w:t xml:space="preserve"> (Howe, 2022)</w:t>
      </w:r>
    </w:p>
    <w:p>
      <w:pPr>
        <w:numPr>
          <w:ilvl w:val="0"/>
          <w:numId w:val="1"/>
        </w:numPr>
        <w:ind w:left="720" w:hanging="280"/>
        <w:jc w:val="left"/>
      </w:pPr>
      <w:r>
        <w:rPr>
          <w:b/>
          <w:bCs/>
        </w:rPr>
        <w:t>Catapulted gameday merchandise revenue by 32%</w:t>
      </w:r>
    </w:p>
    <w:p>
      <w:pPr>
        <w:numPr>
          <w:ilvl w:val="0"/>
          <w:numId w:val="1"/>
        </w:numPr>
        <w:spacing w:after="240"/>
        <w:ind w:left="720" w:hanging="280"/>
        <w:jc w:val="left"/>
      </w:pPr>
      <w:r>
        <w:rPr>
          <w:b/>
          <w:bCs/>
        </w:rPr>
        <w:t>Spawned a year-round lifestyle anchored in Longhorn lore</w:t>
      </w:r>
    </w:p>
    <w:p>
      <w:pPr>
        <w:spacing w:before="240" w:after="240"/>
      </w:pPr>
      <w:r>
        <w:t>This experiential approach extends beyond football season through the Longhorn Foundation's donor engagement events, creating touchpoints that reinforce the emotional connection to the program throughout the calendar year.</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Example B: St. Louis Cardinals – Cardinals Nation &amp; Insider Access</w:t>
      </w:r>
    </w:p>
    <w:p>
      <w:pPr>
        <w:spacing w:before="240" w:after="240"/>
      </w:pPr>
      <w:r>
        <w:t>Steeped in the lore of Gibby's hobbled heroics, Eckstein's improbable MVP, and Wainwright's knee-buckling curveball to Carlos Beltran that clinched the 2006 NLCS, Cardinal Nation's living museum doesn't just commemorate history—it resurrects it. With each smudged display case and yellowed scorecard, fans are transported back to those sacred October nights, when destiny danced on the edge of a champagne cork. This is experiential sorcery of the highest order—and a template for all aspiring immortals.</w:t>
      </w:r>
    </w:p>
    <w:p>
      <w:pPr>
        <w:spacing w:before="240" w:after="240"/>
      </w:pPr>
      <w:r>
        <w:t>The "Insider Access" initiative further amplifies this nostalgic immersion, granting season ticket holders:</w:t>
      </w:r>
    </w:p>
    <w:p>
      <w:pPr>
        <w:numPr>
          <w:ilvl w:val="0"/>
          <w:numId w:val="2"/>
        </w:numPr>
        <w:spacing w:before="240"/>
        <w:ind w:left="720" w:hanging="280"/>
        <w:jc w:val="left"/>
      </w:pPr>
      <w:r>
        <w:t>Early batting practice access &amp; player meet-and-greets</w:t>
      </w:r>
    </w:p>
    <w:p>
      <w:pPr>
        <w:numPr>
          <w:ilvl w:val="0"/>
          <w:numId w:val="2"/>
        </w:numPr>
        <w:ind w:left="720" w:hanging="280"/>
        <w:jc w:val="left"/>
      </w:pPr>
      <w:r>
        <w:t>Behind-the-scenes ballpark tours &amp; Hall-of-Fame events</w:t>
      </w:r>
    </w:p>
    <w:p>
      <w:pPr>
        <w:numPr>
          <w:ilvl w:val="0"/>
          <w:numId w:val="2"/>
        </w:numPr>
        <w:spacing w:after="240"/>
        <w:ind w:left="720" w:hanging="280"/>
        <w:jc w:val="left"/>
      </w:pPr>
      <w:r>
        <w:t>Pre-game clubhouse visits &amp; field-level vantage points</w:t>
      </w:r>
    </w:p>
    <w:p>
      <w:pPr>
        <w:spacing w:before="240" w:after="240"/>
      </w:pPr>
      <w:r>
        <w:t>The bewitching results? According to Miller (2021):</w:t>
      </w:r>
    </w:p>
    <w:p>
      <w:pPr>
        <w:numPr>
          <w:ilvl w:val="0"/>
          <w:numId w:val="3"/>
        </w:numPr>
        <w:spacing w:before="240"/>
        <w:ind w:left="720" w:hanging="280"/>
        <w:jc w:val="left"/>
      </w:pPr>
      <w:r>
        <w:rPr>
          <w:b/>
          <w:bCs/>
        </w:rPr>
        <w:t>100,000+ offseason museum visitors annually</w:t>
      </w:r>
    </w:p>
    <w:p>
      <w:pPr>
        <w:numPr>
          <w:ilvl w:val="0"/>
          <w:numId w:val="3"/>
        </w:numPr>
        <w:ind w:left="720" w:hanging="280"/>
        <w:jc w:val="left"/>
      </w:pPr>
      <w:r>
        <w:rPr>
          <w:b/>
          <w:bCs/>
        </w:rPr>
        <w:t>40% spike in loyalty scores among "Insiders"</w:t>
      </w:r>
    </w:p>
    <w:p>
      <w:pPr>
        <w:numPr>
          <w:ilvl w:val="0"/>
          <w:numId w:val="3"/>
        </w:numPr>
        <w:spacing w:after="240"/>
        <w:ind w:left="720" w:hanging="280"/>
        <w:jc w:val="left"/>
      </w:pPr>
      <w:r>
        <w:rPr>
          <w:b/>
          <w:bCs/>
        </w:rPr>
        <w:t>25% increase in season ticket retention</w:t>
      </w:r>
    </w:p>
    <w:p>
      <w:pPr>
        <w:spacing w:before="240" w:after="240"/>
      </w:pPr>
      <w:r>
        <w:t>The Cardinals have effectively transformed Busch Stadium into a year-round destination that strengthens fan identity through immersive storytelling and exclusive access.</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Application: The Brand Experience Lab</w:t>
      </w:r>
    </w:p>
    <w:p>
      <w:pPr>
        <w:spacing w:before="240" w:after="240"/>
      </w:pPr>
      <w:r>
        <w:t>Inspired by these sensory spectacles, I would design an in-person Brand Experience Lab for my performance apparel and training system business—an immersive fusion of:</w:t>
      </w:r>
    </w:p>
    <w:p>
      <w:pPr>
        <w:numPr>
          <w:ilvl w:val="0"/>
          <w:numId w:val="4"/>
        </w:numPr>
        <w:spacing w:before="240"/>
        <w:ind w:left="720" w:hanging="280"/>
        <w:jc w:val="left"/>
      </w:pPr>
      <w:r>
        <w:t>Product demos juiced with scent, sound &amp; kinetic flourishes (like our signature compression shirts with embedded biometric sensors)</w:t>
      </w:r>
    </w:p>
    <w:p>
      <w:pPr>
        <w:numPr>
          <w:ilvl w:val="0"/>
          <w:numId w:val="4"/>
        </w:numPr>
        <w:ind w:left="720" w:hanging="280"/>
        <w:jc w:val="left"/>
      </w:pPr>
      <w:r>
        <w:t>1-on-1 expert consultations with biomechanical analysis using the same technologies employed by professional sports teams</w:t>
      </w:r>
    </w:p>
    <w:p>
      <w:pPr>
        <w:numPr>
          <w:ilvl w:val="0"/>
          <w:numId w:val="4"/>
        </w:numPr>
        <w:spacing w:after="240"/>
        <w:ind w:left="720" w:hanging="280"/>
        <w:jc w:val="left"/>
      </w:pPr>
      <w:r>
        <w:t>Live creator events with inspirational storytelling from athletes who have transformed their performance using our systems</w:t>
      </w:r>
    </w:p>
    <w:p>
      <w:pPr>
        <w:spacing w:before="240" w:after="240"/>
      </w:pPr>
      <w:r>
        <w:t>The implementation timeline would focus on launching in three key markets within the first 18 months, with pop-up versions at relevant fitness expos and sporting events. Resource requirements would include specialized staff training, proprietary technology integration, and partnerships with local athletic facilities.</w:t>
      </w:r>
    </w:p>
    <w:p>
      <w:pPr>
        <w:spacing w:before="240" w:after="240"/>
      </w:pPr>
      <w:r>
        <w:t>By elevating the tactile and forging deeper personal connections, we'll alchemize routine transactions into rituals of self-transcendence. Our metrics of success would include:</w:t>
      </w:r>
    </w:p>
    <w:p>
      <w:pPr>
        <w:numPr>
          <w:ilvl w:val="0"/>
          <w:numId w:val="5"/>
        </w:numPr>
        <w:spacing w:before="240"/>
        <w:ind w:left="720" w:hanging="280"/>
        <w:jc w:val="left"/>
      </w:pPr>
      <w:r>
        <w:rPr>
          <w:b/>
          <w:bCs/>
        </w:rPr>
        <w:t>The 30%+ conversion rate for Experience Lab visitors</w:t>
      </w:r>
    </w:p>
    <w:p>
      <w:pPr>
        <w:numPr>
          <w:ilvl w:val="0"/>
          <w:numId w:val="5"/>
        </w:numPr>
        <w:ind w:left="720" w:hanging="280"/>
        <w:jc w:val="left"/>
      </w:pPr>
      <w:r>
        <w:rPr>
          <w:b/>
          <w:bCs/>
        </w:rPr>
        <w:t>4.5+ rating on sensory satisfaction</w:t>
      </w:r>
    </w:p>
    <w:p>
      <w:pPr>
        <w:numPr>
          <w:ilvl w:val="0"/>
          <w:numId w:val="5"/>
        </w:numPr>
        <w:spacing w:after="240"/>
        <w:ind w:left="720" w:hanging="280"/>
        <w:jc w:val="left"/>
      </w:pPr>
      <w:r>
        <w:rPr>
          <w:b/>
          <w:bCs/>
        </w:rPr>
        <w:t>2x purchase frequency &amp; 25%+ lift in LTV for Lab customers</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Best Practice #2: Strategic Sponsorship Activation—The Brand Interweaving</w:t>
      </w:r>
    </w:p>
    <w:p>
      <w:pPr>
        <w:spacing w:before="240" w:after="240"/>
      </w:pPr>
      <w:r>
        <w:t xml:space="preserve">Today's dynasty-builders design purpose-driven sponsorships that seamlessly integrate brands into the fabric of fandom. Beyond mere logo-slapping, they architect contextual value exchanges that amplify fan identity while delivering tangible utility. According to Richardson (2022), this symbiotic weaving of values boosts brand favorability by an eloquent </w:t>
      </w:r>
      <w:r>
        <w:rPr>
          <w:b/>
          <w:bCs/>
        </w:rPr>
        <w:t>30-45%</w:t>
      </w:r>
      <w:r>
        <w:t>.</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Example A: Memphis Grizzlies – FedEx "Team Up" Integration</w:t>
      </w:r>
    </w:p>
    <w:p>
      <w:pPr>
        <w:spacing w:before="240" w:after="240"/>
      </w:pPr>
      <w:r>
        <w:t>With FedEx's "Team Up" community program, the Grizzlies don't just add corporate patches—they stitch them into Memphis's civic spirit. Marrying FedEx volunteers with Grizzlies players like Ja Morant and Jaren Jackson Jr., these mentorship initiatives blanket Bluff City with emissaries of goodwill. The Noble box score over 5 seasons:</w:t>
      </w:r>
    </w:p>
    <w:p>
      <w:pPr>
        <w:numPr>
          <w:ilvl w:val="0"/>
          <w:numId w:val="6"/>
        </w:numPr>
        <w:spacing w:before="240"/>
        <w:ind w:left="720" w:hanging="280"/>
        <w:jc w:val="left"/>
      </w:pPr>
      <w:r>
        <w:rPr>
          <w:b/>
          <w:bCs/>
        </w:rPr>
        <w:t>37% higher fan recall of FedEx</w:t>
      </w:r>
      <w:r>
        <w:t xml:space="preserve"> vs. non-integrated sponsors</w:t>
      </w:r>
    </w:p>
    <w:p>
      <w:pPr>
        <w:numPr>
          <w:ilvl w:val="0"/>
          <w:numId w:val="6"/>
        </w:numPr>
        <w:ind w:left="720" w:hanging="280"/>
        <w:jc w:val="left"/>
      </w:pPr>
      <w:r>
        <w:rPr>
          <w:b/>
          <w:bCs/>
        </w:rPr>
        <w:t>80+ youth empowerment forums with 15,000+ attendees</w:t>
      </w:r>
    </w:p>
    <w:p>
      <w:pPr>
        <w:numPr>
          <w:ilvl w:val="0"/>
          <w:numId w:val="6"/>
        </w:numPr>
        <w:spacing w:after="240"/>
        <w:ind w:left="720" w:hanging="280"/>
        <w:jc w:val="left"/>
      </w:pPr>
      <w:r>
        <w:rPr>
          <w:b/>
          <w:bCs/>
        </w:rPr>
        <w:t>85%+ FedEx renewal rate</w:t>
      </w:r>
      <w:r>
        <w:t xml:space="preserve"> for community-anchored deals</w:t>
      </w:r>
    </w:p>
    <w:p>
      <w:pPr>
        <w:spacing w:before="240" w:after="240"/>
      </w:pPr>
      <w:r>
        <w:t>This partnership succeeds because it authentically reflects shared values between the Grizzlies' "Grit and Grind" ethos and FedEx's commitment to reliability and community service, creating meaningful engagement rather than intrusive advertising.</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Example B: Tennessee Titans – Nissan Gameday Drive</w:t>
      </w:r>
    </w:p>
    <w:p>
      <w:pPr>
        <w:spacing w:before="240" w:after="240"/>
      </w:pPr>
      <w:r>
        <w:t>The Titans' partnership with Nissan shifts sponsorship into high gear—literally. By weaving Nissan's navigation tech into gameday, fans receive:</w:t>
      </w:r>
    </w:p>
    <w:p>
      <w:pPr>
        <w:numPr>
          <w:ilvl w:val="0"/>
          <w:numId w:val="7"/>
        </w:numPr>
        <w:spacing w:before="240"/>
        <w:ind w:left="720" w:hanging="280"/>
        <w:jc w:val="left"/>
      </w:pPr>
      <w:r>
        <w:t>Real-time route optimization with road closure alerts</w:t>
      </w:r>
    </w:p>
    <w:p>
      <w:pPr>
        <w:numPr>
          <w:ilvl w:val="0"/>
          <w:numId w:val="7"/>
        </w:numPr>
        <w:ind w:left="720" w:hanging="280"/>
        <w:jc w:val="left"/>
      </w:pPr>
      <w:r>
        <w:t>Exclusive lot access with expedited departure assistance</w:t>
      </w:r>
    </w:p>
    <w:p>
      <w:pPr>
        <w:numPr>
          <w:ilvl w:val="0"/>
          <w:numId w:val="7"/>
        </w:numPr>
        <w:spacing w:after="240"/>
        <w:ind w:left="720" w:hanging="280"/>
        <w:jc w:val="left"/>
      </w:pPr>
      <w:r>
        <w:t>VIP parking upgrades with ticket package integration</w:t>
      </w:r>
    </w:p>
    <w:p>
      <w:pPr>
        <w:spacing w:before="240" w:after="240"/>
      </w:pPr>
      <w:r>
        <w:t>This strategic integration echoes the Titans' own journey from Houston to Tennessee, navigating a new identity while honoring their heritage, much as the team did during their transition from Oilers to Titans and their magical 1999 Super Bowl run.</w:t>
      </w:r>
    </w:p>
    <w:p>
      <w:pPr>
        <w:spacing w:before="240" w:after="240"/>
      </w:pPr>
      <w:r>
        <w:t>The record-breaking results, per NFL Analytics (2022):</w:t>
      </w:r>
    </w:p>
    <w:p>
      <w:pPr>
        <w:numPr>
          <w:ilvl w:val="0"/>
          <w:numId w:val="8"/>
        </w:numPr>
        <w:spacing w:before="240"/>
        <w:ind w:left="720" w:hanging="280"/>
        <w:jc w:val="left"/>
      </w:pPr>
      <w:r>
        <w:rPr>
          <w:b/>
          <w:bCs/>
        </w:rPr>
        <w:t>30% boost in Titans app engagement</w:t>
      </w:r>
      <w:r>
        <w:t xml:space="preserve"> on gamedays</w:t>
      </w:r>
    </w:p>
    <w:p>
      <w:pPr>
        <w:numPr>
          <w:ilvl w:val="0"/>
          <w:numId w:val="8"/>
        </w:numPr>
        <w:ind w:left="720" w:hanging="280"/>
        <w:jc w:val="left"/>
      </w:pPr>
      <w:r>
        <w:rPr>
          <w:b/>
          <w:bCs/>
        </w:rPr>
        <w:t>50,000+ monthly users</w:t>
      </w:r>
      <w:r>
        <w:t xml:space="preserve"> of Nissan's OnTheGo platform</w:t>
      </w:r>
    </w:p>
    <w:p>
      <w:pPr>
        <w:numPr>
          <w:ilvl w:val="0"/>
          <w:numId w:val="8"/>
        </w:numPr>
        <w:spacing w:after="240"/>
        <w:ind w:left="720" w:hanging="280"/>
        <w:jc w:val="left"/>
      </w:pPr>
      <w:r>
        <w:rPr>
          <w:b/>
          <w:bCs/>
        </w:rPr>
        <w:t>65% increase in Nissan test drives</w:t>
      </w:r>
      <w:r>
        <w:t xml:space="preserve"> among season ticket base</w:t>
      </w:r>
    </w:p>
    <w:p>
      <w:pPr>
        <w:spacing w:before="240" w:after="240"/>
      </w:pPr>
      <w:r>
        <w:t>The partnership succeeds because it solves a genuine pain point for fans while creating a natural product demonstration opportunity for Nissan.</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Application: Cause-Driven Co-Creation</w:t>
      </w:r>
    </w:p>
    <w:p>
      <w:pPr>
        <w:spacing w:before="240" w:after="240"/>
      </w:pPr>
      <w:r>
        <w:t>Embracing this ethos of interweaving, my performance brand would structure sponsorships not as cookie-cutter inventory, but as bespoke journeys of shared value. We would embed partner IP into the sinews of our fan touchpoints through bespoke solutions like:</w:t>
      </w:r>
    </w:p>
    <w:p>
      <w:pPr>
        <w:numPr>
          <w:ilvl w:val="0"/>
          <w:numId w:val="9"/>
        </w:numPr>
        <w:spacing w:before="240"/>
        <w:ind w:left="720" w:hanging="280"/>
        <w:jc w:val="left"/>
      </w:pPr>
      <w:r>
        <w:t>Exclusive product customization options &amp; loyalty bonuses, such as co-branded training gear with technology partners</w:t>
      </w:r>
    </w:p>
    <w:p>
      <w:pPr>
        <w:numPr>
          <w:ilvl w:val="0"/>
          <w:numId w:val="9"/>
        </w:numPr>
        <w:ind w:left="720" w:hanging="280"/>
        <w:jc w:val="left"/>
      </w:pPr>
      <w:r>
        <w:t>Personalized training content &amp; goal-tracking integrations with nutrition brands and fitness apps</w:t>
      </w:r>
    </w:p>
    <w:p>
      <w:pPr>
        <w:numPr>
          <w:ilvl w:val="0"/>
          <w:numId w:val="9"/>
        </w:numPr>
        <w:spacing w:after="240"/>
        <w:ind w:left="720" w:hanging="280"/>
        <w:jc w:val="left"/>
      </w:pPr>
      <w:r>
        <w:t>Charitable tie-ins to optimize community impact, particularly focusing on youth fitness initiatives in underserved communities</w:t>
      </w:r>
    </w:p>
    <w:p>
      <w:pPr>
        <w:spacing w:before="240" w:after="240"/>
      </w:pPr>
      <w:r>
        <w:t>Implementation would begin with identifying 3-5 potential partners whose customer base and brand values align with our performance philosophy. We would allocate 15% of our marketing budget to these strategic partnerships, with quarterly performance reviews.</w:t>
      </w:r>
    </w:p>
    <w:p>
      <w:pPr>
        <w:spacing w:before="240" w:after="240"/>
      </w:pPr>
      <w:r>
        <w:t>Rather than monetizing eyeballs, we'll fuse our allied purposes—forging affinity loops wherein brand and property identities amplify one another. Our KPIs would track true relationship depth:</w:t>
      </w:r>
    </w:p>
    <w:p>
      <w:pPr>
        <w:numPr>
          <w:ilvl w:val="0"/>
          <w:numId w:val="10"/>
        </w:numPr>
        <w:spacing w:before="240"/>
        <w:ind w:left="720" w:hanging="280"/>
        <w:jc w:val="left"/>
      </w:pPr>
      <w:r>
        <w:rPr>
          <w:b/>
          <w:bCs/>
        </w:rPr>
        <w:t>40%+ attribution of partner in brand perception surveys</w:t>
      </w:r>
    </w:p>
    <w:p>
      <w:pPr>
        <w:numPr>
          <w:ilvl w:val="0"/>
          <w:numId w:val="10"/>
        </w:numPr>
        <w:ind w:left="720" w:hanging="280"/>
        <w:jc w:val="left"/>
      </w:pPr>
      <w:r>
        <w:rPr>
          <w:b/>
          <w:bCs/>
        </w:rPr>
        <w:t>2+ sponsor value behaviors per customer annually</w:t>
      </w:r>
    </w:p>
    <w:p>
      <w:pPr>
        <w:numPr>
          <w:ilvl w:val="0"/>
          <w:numId w:val="10"/>
        </w:numPr>
        <w:spacing w:after="240"/>
        <w:ind w:left="720" w:hanging="280"/>
        <w:jc w:val="left"/>
      </w:pPr>
      <w:r>
        <w:rPr>
          <w:b/>
          <w:bCs/>
        </w:rPr>
        <w:t>20%+ CLTV premium for co-created product lines</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Best Practice #3: Data-Driven Personalization—The Behavioral Symphony</w:t>
      </w:r>
    </w:p>
    <w:p>
      <w:pPr>
        <w:spacing w:before="240" w:after="240"/>
      </w:pPr>
      <w:r>
        <w:t xml:space="preserve">The Sports Analytics Institute (2023) reveals that behaviorally triggered campaigns multiply response rates sixfold, lifting conversion by an ethereal </w:t>
      </w:r>
      <w:r>
        <w:rPr>
          <w:b/>
          <w:bCs/>
        </w:rPr>
        <w:t>35%</w:t>
      </w:r>
      <w:r>
        <w:t>. The virtuosos of this new Moneyball wield fan data with the precision of Greg Maddux painting the black—conducting a perfectly-pitched symphony of 30 customized overtures where broad-based blasts once blared.</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Example A: St. Louis Cardinals – Fan Preference Engine</w:t>
      </w:r>
    </w:p>
    <w:p>
      <w:pPr>
        <w:spacing w:before="240" w:after="240"/>
      </w:pPr>
      <w:r>
        <w:t>The Cardinals' fan preference engine doesn't just collect data—it connects the emotional dots. By harmonizing digital breadcrumbs across ticketing, merchandise, content interaction, and ballpark access, the Cards uncover startling behavioral nuances—from rally cap superstitions to Yadier Molina jersey-wearing streaks.</w:t>
      </w:r>
    </w:p>
    <w:p>
      <w:pPr>
        <w:spacing w:before="240" w:after="240"/>
      </w:pPr>
      <w:r>
        <w:t>The result? Dazzling improvisations like:</w:t>
      </w:r>
    </w:p>
    <w:p>
      <w:pPr>
        <w:numPr>
          <w:ilvl w:val="0"/>
          <w:numId w:val="11"/>
        </w:numPr>
        <w:spacing w:before="240"/>
        <w:ind w:left="720" w:hanging="280"/>
        <w:jc w:val="left"/>
      </w:pPr>
      <w:r>
        <w:t>Surprise &amp; delight ticket upgrades on "lucky" game dates</w:t>
      </w:r>
    </w:p>
    <w:p>
      <w:pPr>
        <w:numPr>
          <w:ilvl w:val="0"/>
          <w:numId w:val="11"/>
        </w:numPr>
        <w:ind w:left="720" w:hanging="280"/>
        <w:jc w:val="left"/>
      </w:pPr>
      <w:r>
        <w:t>Exclusive merch access for top-decile memorabilia buyers</w:t>
      </w:r>
    </w:p>
    <w:p>
      <w:pPr>
        <w:numPr>
          <w:ilvl w:val="0"/>
          <w:numId w:val="11"/>
        </w:numPr>
        <w:spacing w:after="240"/>
        <w:ind w:left="720" w:hanging="280"/>
        <w:jc w:val="left"/>
      </w:pPr>
      <w:r>
        <w:t>Personalized content triggers based on viewing patterns</w:t>
      </w:r>
    </w:p>
    <w:p>
      <w:pPr>
        <w:spacing w:before="240" w:after="240"/>
      </w:pPr>
      <w:r>
        <w:t>This approach helped the Cardinals maintain fan engagement through rebuilding years after their 2006 and 2011 championships, ensuring continuity of their sellout streaks and merchandise revenue despite fluctuations in on-field performance.</w:t>
      </w:r>
    </w:p>
    <w:p>
      <w:pPr>
        <w:spacing w:before="240" w:after="240"/>
      </w:pPr>
      <w:r>
        <w:t>This micro-targeting fuels macro results (Lewis, 2023):</w:t>
      </w:r>
    </w:p>
    <w:p>
      <w:pPr>
        <w:numPr>
          <w:ilvl w:val="0"/>
          <w:numId w:val="12"/>
        </w:numPr>
        <w:spacing w:before="240"/>
        <w:ind w:left="720" w:hanging="280"/>
        <w:jc w:val="left"/>
      </w:pPr>
      <w:r>
        <w:rPr>
          <w:b/>
          <w:bCs/>
        </w:rPr>
        <w:t>25% higher email conversion rates</w:t>
      </w:r>
    </w:p>
    <w:p>
      <w:pPr>
        <w:numPr>
          <w:ilvl w:val="0"/>
          <w:numId w:val="12"/>
        </w:numPr>
        <w:ind w:left="720" w:hanging="280"/>
        <w:jc w:val="left"/>
      </w:pPr>
      <w:r>
        <w:rPr>
          <w:b/>
          <w:bCs/>
        </w:rPr>
        <w:t>15% renewal lift</w:t>
      </w:r>
      <w:r>
        <w:t xml:space="preserve"> for algorithmically-optimized offers</w:t>
      </w:r>
    </w:p>
    <w:p>
      <w:pPr>
        <w:numPr>
          <w:ilvl w:val="0"/>
          <w:numId w:val="12"/>
        </w:numPr>
        <w:spacing w:after="240"/>
        <w:ind w:left="720" w:hanging="280"/>
        <w:jc w:val="left"/>
      </w:pPr>
      <w:r>
        <w:rPr>
          <w:b/>
          <w:bCs/>
        </w:rPr>
        <w:t>40% boost in revenue-per-recipient</w:t>
      </w:r>
      <w:r>
        <w:t xml:space="preserve"> from targeted communications</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Example B: Texas Longhorns – Longhorn Foundation Donor Genome Project</w:t>
      </w:r>
    </w:p>
    <w:p>
      <w:pPr>
        <w:spacing w:before="240" w:after="240"/>
      </w:pPr>
      <w:r>
        <w:t>UT's Donor Genome Project integrates gift history, behavioral triggers &amp; relational network analysis to paint vivid donor decision journeys. Far more than simplistic "ask ranges," this behavioral plasticity enables bespoke cultivation across channels, reminiscent of how Mack Brown built the Longhorns' recruiting pipeline that culminated in the 2005 National Championship.</w:t>
      </w:r>
    </w:p>
    <w:p>
      <w:pPr>
        <w:spacing w:before="240" w:after="240"/>
      </w:pPr>
      <w:r>
        <w:t>The precision payoff is Texas-sized (SAI, 2023):</w:t>
      </w:r>
    </w:p>
    <w:p>
      <w:pPr>
        <w:numPr>
          <w:ilvl w:val="0"/>
          <w:numId w:val="13"/>
        </w:numPr>
        <w:spacing w:before="240"/>
        <w:ind w:left="720" w:hanging="280"/>
        <w:jc w:val="left"/>
      </w:pPr>
      <w:r>
        <w:rPr>
          <w:b/>
          <w:bCs/>
        </w:rPr>
        <w:t>35% interaction lift</w:t>
      </w:r>
      <w:r>
        <w:t xml:space="preserve"> from persona-based messaging</w:t>
      </w:r>
    </w:p>
    <w:p>
      <w:pPr>
        <w:numPr>
          <w:ilvl w:val="0"/>
          <w:numId w:val="13"/>
        </w:numPr>
        <w:ind w:left="720" w:hanging="280"/>
        <w:jc w:val="left"/>
      </w:pPr>
      <w:r>
        <w:rPr>
          <w:b/>
          <w:bCs/>
        </w:rPr>
        <w:t>48% jump</w:t>
      </w:r>
      <w:r>
        <w:t xml:space="preserve"> in total email consumption</w:t>
      </w:r>
    </w:p>
    <w:p>
      <w:pPr>
        <w:numPr>
          <w:ilvl w:val="0"/>
          <w:numId w:val="13"/>
        </w:numPr>
        <w:spacing w:after="240"/>
        <w:ind w:left="720" w:hanging="280"/>
        <w:jc w:val="left"/>
      </w:pPr>
      <w:r>
        <w:rPr>
          <w:b/>
          <w:bCs/>
        </w:rPr>
        <w:t>60%+ multi-year pledge rate</w:t>
      </w:r>
      <w:r>
        <w:t xml:space="preserve"> (vs. 25% baseline)</w:t>
      </w:r>
    </w:p>
    <w:p>
      <w:pPr>
        <w:spacing w:before="240" w:after="240"/>
      </w:pPr>
      <w:r>
        <w:t>The Longhorns have effectively applied the same analytical rigor to donor engagement that they bring to on-field performance, creating a sustainable funding model that supports excellence across their athletic programs.</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Application: Human Performance Product Graph</w:t>
      </w:r>
    </w:p>
    <w:p>
      <w:pPr>
        <w:spacing w:before="240" w:after="240"/>
      </w:pPr>
      <w:r>
        <w:t>To mirror this individual-level intimacy at scale, I would construct a proprietary Human Performance Product Graph for my brand. By amassing a real-time record of product usage, content engagement, goal-setting behaviors &amp; sensor data from our smart apparel, we'd detect the hidden interplay between motivation and motion. Instructive patterns would automate:</w:t>
      </w:r>
    </w:p>
    <w:p>
      <w:pPr>
        <w:numPr>
          <w:ilvl w:val="0"/>
          <w:numId w:val="14"/>
        </w:numPr>
        <w:spacing w:before="240"/>
        <w:ind w:left="720" w:hanging="280"/>
        <w:jc w:val="left"/>
      </w:pPr>
      <w:r>
        <w:t>Replenishment reminders at optimal re-order points based on training frequency</w:t>
      </w:r>
    </w:p>
    <w:p>
      <w:pPr>
        <w:numPr>
          <w:ilvl w:val="0"/>
          <w:numId w:val="14"/>
        </w:numPr>
        <w:ind w:left="720" w:hanging="280"/>
        <w:jc w:val="left"/>
      </w:pPr>
      <w:r>
        <w:t>Cross-product recommendations based on training regimen and performance goals</w:t>
      </w:r>
    </w:p>
    <w:p>
      <w:pPr>
        <w:numPr>
          <w:ilvl w:val="0"/>
          <w:numId w:val="14"/>
        </w:numPr>
        <w:spacing w:after="240"/>
        <w:ind w:left="720" w:hanging="280"/>
        <w:jc w:val="left"/>
      </w:pPr>
      <w:r>
        <w:t>Dynamic content curation to align with recovery journey and progress milestones</w:t>
      </w:r>
    </w:p>
    <w:p>
      <w:pPr>
        <w:spacing w:before="240" w:after="240"/>
      </w:pPr>
      <w:r>
        <w:t>Implementation would require the development of a unified customer data platform, integration of product sensors with our mobile application, and establishment of data governance protocols to ensure privacy compliance. The initiative would launch in phases, beginning with basic behavioral tracking and expanding to predictive analytics within 24 months.</w:t>
      </w:r>
    </w:p>
    <w:p>
      <w:pPr>
        <w:spacing w:before="240" w:after="240"/>
      </w:pPr>
      <w:r>
        <w:t>Armed with these eerily predictive models, we'd conduct hyper-relevant conversations across web, app, email, and experiential interfaces. Our success standards would include:</w:t>
      </w:r>
    </w:p>
    <w:p>
      <w:pPr>
        <w:numPr>
          <w:ilvl w:val="0"/>
          <w:numId w:val="15"/>
        </w:numPr>
        <w:spacing w:before="240"/>
        <w:ind w:left="720" w:hanging="280"/>
        <w:jc w:val="left"/>
      </w:pPr>
      <w:r>
        <w:rPr>
          <w:b/>
          <w:bCs/>
        </w:rPr>
        <w:t>30%+ CTR and 15%+ conversion</w:t>
      </w:r>
      <w:r>
        <w:t xml:space="preserve"> on behavioral campaigns</w:t>
      </w:r>
    </w:p>
    <w:p>
      <w:pPr>
        <w:numPr>
          <w:ilvl w:val="0"/>
          <w:numId w:val="15"/>
        </w:numPr>
        <w:ind w:left="720" w:hanging="280"/>
        <w:jc w:val="left"/>
      </w:pPr>
      <w:r>
        <w:rPr>
          <w:b/>
          <w:bCs/>
        </w:rPr>
        <w:t>2+ "surprise &amp; delight" gestures annually</w:t>
      </w:r>
      <w:r>
        <w:t xml:space="preserve"> per active user</w:t>
      </w:r>
    </w:p>
    <w:p>
      <w:pPr>
        <w:numPr>
          <w:ilvl w:val="0"/>
          <w:numId w:val="15"/>
        </w:numPr>
        <w:spacing w:after="240"/>
        <w:ind w:left="720" w:hanging="280"/>
        <w:jc w:val="left"/>
      </w:pPr>
      <w:r>
        <w:rPr>
          <w:b/>
          <w:bCs/>
        </w:rPr>
        <w:t>40% reduction in early-lifecycle churn</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Conclusion: The Competitive Epiphany</w:t>
      </w:r>
    </w:p>
    <w:p>
      <w:pPr>
        <w:spacing w:before="240" w:after="240"/>
      </w:pPr>
      <w:r>
        <w:t>By harnessing the championship feng shui of the Cardinals, Longhorns, Titans, and Grizzlies, we unearth a blinding epiphany: The road to immortality isn't paved with best practices—it's paved by them.</w:t>
      </w:r>
    </w:p>
    <w:p>
      <w:pPr>
        <w:spacing w:before="240" w:after="240"/>
      </w:pPr>
      <w:r>
        <w:t>These hallowed franchises haven't just implemented immersive marketing, strategic sponsorships, and data-driven personalization as siloed tactics—they've consecrated them as articles of faith. From Adam Wainwright's first pitch in Game 7 of the 2006 NLCS to the final seconds of Texas's 2006 Rose Bowl victory, every touchpoint telegraphs a singular gospel of transformation: Belief manifests destiny.</w:t>
      </w:r>
    </w:p>
    <w:p>
      <w:pPr>
        <w:spacing w:before="240" w:after="240"/>
      </w:pPr>
      <w:r>
        <w:t>It is this indomitable creed—seared into the synapses of their fans and encoded in the hearts of their partners—that separates the perennial contenders from the perpetual also-rans. For the '06 Cardinals and '05/'06 Longhorns, immortality wasn't a happy accident—it was a cognitive inevitability born of unwavering belief and fanatical preparation.</w:t>
      </w:r>
    </w:p>
    <w:p>
      <w:pPr>
        <w:spacing w:before="240" w:after="240"/>
      </w:pPr>
      <w:r>
        <w:t>Each best practice we've examined represents a facet of this championship mindset: Immersive experiences create emotional bonds that transcend transactional relationships; strategic sponsorships weave brands into the cultural fabric of communities; and data-driven personalization demonstrates a commitment to understanding and serving individual needs at scale.</w:t>
      </w:r>
    </w:p>
    <w:p>
      <w:pPr>
        <w:spacing w:before="240" w:after="240"/>
      </w:pPr>
      <w:r>
        <w:t>Each best practice also embodies a specific pillar of the '06 Framework: Immersive experiences manifest "Meticulous Preparation" by creating environments that anticipate customer needs; strategic sponsorships exemplify "Strategic Adaptability" by forging alliances that evolve with market conditions; and data-driven personalization operationalizes "Underdog Transformation" by creating customized pathways to performance excellence for each customer.</w:t>
      </w:r>
    </w:p>
    <w:p>
      <w:pPr>
        <w:spacing w:before="240" w:after="240"/>
      </w:pPr>
      <w:r>
        <w:t xml:space="preserve">These championship-caliber strategies directly align with fundamental business model architecture. The Brand Experience Lab transforms value proposition and customer relationships, cause-driven sponsorships enhance key partnerships and revenue streams, while the Human Performance Product Graph revolutionizes customer segments and channels. Like the '06 Cardinals navigating October's crucible, these strategies form the backbone of competitive transformation. For further exploration of these concepts and their application, visit my Digital Leadership Portfolio: </w:t>
      </w:r>
      <w:hyperlink r:id="rId4" w:history="1">
        <w:r>
          <w:rPr>
            <w:color w:val="0000EE"/>
            <w:u w:val="single" w:color="0000EE"/>
          </w:rPr>
          <w:t>https://j8r5k8b9jg.wixsite.com/cognitive-performanc</w:t>
        </w:r>
      </w:hyperlink>
      <w:r>
        <w:t>.</w:t>
      </w:r>
    </w:p>
    <w:p>
      <w:pPr>
        <w:spacing w:before="240" w:after="240"/>
      </w:pPr>
    </w:p>
    <w:p>
      <w:pPr>
        <w:spacing w:before="240" w:after="240"/>
      </w:pPr>
      <w:r>
        <w:t>By consecrating these principles as our cardinal doctrines, we will activate a competitive movement of the soul. From immersion to interweaving to insight—we will weave magic from the mundane. We aim not merely to acquire customers, but to anoint disciples. To achieve this sacrosanct communion, we will make an irrevocable covenant:</w:t>
      </w:r>
    </w:p>
    <w:p>
      <w:pPr>
        <w:spacing w:before="240" w:after="240"/>
      </w:pPr>
      <w:r>
        <w:t>In the echoes of excellence, we will find our battle cry.</w:t>
      </w:r>
    </w:p>
    <w:p>
      <w:pPr>
        <w:spacing w:before="240" w:after="240"/>
      </w:pPr>
      <w:r>
        <w:t>In the shadows of giants, we will cast our legacy.</w:t>
      </w:r>
    </w:p>
    <w:p>
      <w:pPr>
        <w:spacing w:before="240" w:after="240"/>
      </w:pPr>
      <w:r>
        <w:t>In the image of legends, we will re-imagine possibility.</w:t>
      </w:r>
    </w:p>
    <w:p>
      <w:pPr>
        <w:spacing w:before="240" w:after="240"/>
      </w:pPr>
      <w:r>
        <w:t>This is our birthright. This is our creed. This is the '06 Way. And it all begins with a whisper: Believe.</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References</w:t>
      </w:r>
    </w:p>
    <w:p>
      <w:pPr>
        <w:spacing w:before="240" w:after="240"/>
      </w:pPr>
      <w:r>
        <w:t xml:space="preserve">Howe, P. (2022). </w:t>
      </w:r>
      <w:r>
        <w:rPr>
          <w:i/>
          <w:iCs/>
        </w:rPr>
        <w:t>University of Texas Athletics annual report</w:t>
      </w:r>
      <w:r>
        <w:t>. Austin, TX: University of Texas.</w:t>
      </w:r>
    </w:p>
    <w:p>
      <w:pPr>
        <w:spacing w:before="240" w:after="240"/>
      </w:pPr>
      <w:r>
        <w:t xml:space="preserve">Lewis, K. (2023). MLB marketing benchmark analysis. </w:t>
      </w:r>
      <w:r>
        <w:rPr>
          <w:i/>
          <w:iCs/>
        </w:rPr>
        <w:t>Sports Business Journal, 34</w:t>
      </w:r>
      <w:r>
        <w:t>(7), 23-29.</w:t>
      </w:r>
    </w:p>
    <w:p>
      <w:pPr>
        <w:spacing w:before="240" w:after="240"/>
      </w:pPr>
      <w:r>
        <w:t xml:space="preserve">Miller, R. (2021). Heritage marketing in professional sports: The Cardinals model. </w:t>
      </w:r>
      <w:r>
        <w:rPr>
          <w:i/>
          <w:iCs/>
        </w:rPr>
        <w:t>Sports Business Journal, 32</w:t>
      </w:r>
      <w:r>
        <w:t>(4), 41-46.</w:t>
      </w:r>
    </w:p>
    <w:p>
      <w:pPr>
        <w:spacing w:before="240" w:after="240"/>
      </w:pPr>
      <w:r>
        <w:t xml:space="preserve">NFL Sponsorship Analytics Group. (2022). </w:t>
      </w:r>
      <w:r>
        <w:rPr>
          <w:i/>
          <w:iCs/>
        </w:rPr>
        <w:t>Digital activation engagement metrics: League benchmarking report</w:t>
      </w:r>
      <w:r>
        <w:t>. New York, NY: National Football League.</w:t>
      </w:r>
    </w:p>
    <w:p>
      <w:pPr>
        <w:spacing w:before="240" w:after="240"/>
      </w:pPr>
      <w:r>
        <w:t xml:space="preserve">Richardson, T. (2022). Community integration in sports partnerships: Case studies in effectiveness. </w:t>
      </w:r>
      <w:r>
        <w:rPr>
          <w:i/>
          <w:iCs/>
        </w:rPr>
        <w:t>Sports Business Journal, 33</w:t>
      </w:r>
      <w:r>
        <w:t>(9), 17-22.</w:t>
      </w:r>
    </w:p>
    <w:p>
      <w:pPr>
        <w:spacing w:before="240" w:after="240"/>
      </w:pPr>
      <w:r>
        <w:t xml:space="preserve">Sports Analytics Institute (SAI). (2023). </w:t>
      </w:r>
      <w:r>
        <w:rPr>
          <w:i/>
          <w:iCs/>
        </w:rPr>
        <w:t>Collegiate athletics donor engagement metrics</w:t>
      </w:r>
      <w:r>
        <w:t>. Indianapolis, IN: NCAA Research Division.</w:t>
      </w:r>
    </w:p>
    <w:p>
      <w:pPr>
        <w:spacing w:before="240" w:after="240"/>
      </w:pPr>
      <w:r>
        <w:t xml:space="preserve">Thompson, J. (2021). Experiential marketing in professional sports: Impact assessment &amp; best practices. </w:t>
      </w:r>
      <w:r>
        <w:rPr>
          <w:i/>
          <w:iCs/>
        </w:rPr>
        <w:t>Journal of Sports Marketing, 15</w:t>
      </w:r>
      <w:r>
        <w:t>(2), 83-97.</w:t>
      </w:r>
    </w:p>
    <w:p>
      <w:pPr>
        <w:spacing w:before="240" w:after="240"/>
      </w:pPr>
      <w:r>
        <w:t xml:space="preserve">Wilson, M. (2022). </w:t>
      </w:r>
      <w:r>
        <w:rPr>
          <w:i/>
          <w:iCs/>
        </w:rPr>
        <w:t>The psychology of championship performance: Lessons from elite sports</w:t>
      </w:r>
      <w:r>
        <w:t>. Chicago, IL: Athletic Performance Press.</w:t>
      </w:r>
    </w:p>
    <w:sectPr>
      <w:pgMar w:top="1440" w:right="1440" w:bottom="1440" w:left="144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ql-ui">
    <w:name w:val="ql-ui"/>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j8r5k8b9jg.wixsite.com/cognitive-performanc"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