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BE992" w14:textId="77777777" w:rsidR="00483444" w:rsidRPr="00483444" w:rsidRDefault="00483444" w:rsidP="004834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3444">
        <w:rPr>
          <w:rFonts w:ascii="Times New Roman" w:eastAsia="Times New Roman" w:hAnsi="Times New Roman" w:cs="Times New Roman"/>
          <w:b/>
          <w:bCs/>
          <w:kern w:val="36"/>
          <w:sz w:val="48"/>
          <w:szCs w:val="48"/>
          <w14:ligatures w14:val="none"/>
        </w:rPr>
        <w:t>Break-Even at the Crossroads: Where Revenue Meets Reality</w:t>
      </w:r>
    </w:p>
    <w:p w14:paraId="477C6FB0"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t>Austin Humphrey</w:t>
      </w:r>
      <w:r w:rsidRPr="00483444">
        <w:rPr>
          <w:rFonts w:ascii="Times New Roman" w:eastAsia="Times New Roman" w:hAnsi="Times New Roman" w:cs="Times New Roman"/>
          <w:kern w:val="0"/>
          <w14:ligatures w14:val="none"/>
        </w:rPr>
        <w:br/>
      </w:r>
      <w:r w:rsidRPr="00483444">
        <w:rPr>
          <w:rFonts w:ascii="Times New Roman" w:eastAsia="Times New Roman" w:hAnsi="Times New Roman" w:cs="Times New Roman"/>
          <w:b/>
          <w:bCs/>
          <w:kern w:val="0"/>
          <w14:ligatures w14:val="none"/>
        </w:rPr>
        <w:t>Entertainment Business Finance (GEB6508)</w:t>
      </w:r>
      <w:r w:rsidRPr="00483444">
        <w:rPr>
          <w:rFonts w:ascii="Times New Roman" w:eastAsia="Times New Roman" w:hAnsi="Times New Roman" w:cs="Times New Roman"/>
          <w:kern w:val="0"/>
          <w14:ligatures w14:val="none"/>
        </w:rPr>
        <w:br/>
      </w:r>
      <w:r w:rsidRPr="00483444">
        <w:rPr>
          <w:rFonts w:ascii="Times New Roman" w:eastAsia="Times New Roman" w:hAnsi="Times New Roman" w:cs="Times New Roman"/>
          <w:b/>
          <w:bCs/>
          <w:kern w:val="0"/>
          <w14:ligatures w14:val="none"/>
        </w:rPr>
        <w:t>Break Even and Investment Assignment</w:t>
      </w:r>
      <w:r w:rsidRPr="00483444">
        <w:rPr>
          <w:rFonts w:ascii="Times New Roman" w:eastAsia="Times New Roman" w:hAnsi="Times New Roman" w:cs="Times New Roman"/>
          <w:kern w:val="0"/>
          <w14:ligatures w14:val="none"/>
        </w:rPr>
        <w:br/>
      </w:r>
      <w:r w:rsidRPr="00483444">
        <w:rPr>
          <w:rFonts w:ascii="Times New Roman" w:eastAsia="Times New Roman" w:hAnsi="Times New Roman" w:cs="Times New Roman"/>
          <w:b/>
          <w:bCs/>
          <w:kern w:val="0"/>
          <w14:ligatures w14:val="none"/>
        </w:rPr>
        <w:t>June 2025</w:t>
      </w:r>
    </w:p>
    <w:p w14:paraId="0BD59C97"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noProof/>
          <w:kern w:val="0"/>
          <w14:ligatures w14:val="none"/>
        </w:rPr>
      </w:r>
      <w:r w:rsidR="00483444" w:rsidRPr="00483444">
        <w:rPr>
          <w:rFonts w:ascii="Times New Roman" w:eastAsia="Times New Roman" w:hAnsi="Times New Roman" w:cs="Times New Roman"/>
          <w:noProof/>
          <w:kern w:val="0"/>
          <w14:ligatures w14:val="none"/>
        </w:rPr>
        <w:pict w14:anchorId="1D6A479D">
          <v:rect id="_x0000_i1025" alt="" style="width:468pt;height:.05pt;mso-width-percent:0;mso-height-percent:0;mso-width-percent:0;mso-height-percent:0" o:hralign="center" o:hrstd="t" o:hr="t" fillcolor="#a0a0a0" stroked="f"/>
        </w:pict>
      </w:r>
    </w:p>
    <w:p w14:paraId="1CE504AE" w14:textId="77777777" w:rsidR="00483444" w:rsidRPr="00483444" w:rsidRDefault="00483444" w:rsidP="004834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3444">
        <w:rPr>
          <w:rFonts w:ascii="Times New Roman" w:eastAsia="Times New Roman" w:hAnsi="Times New Roman" w:cs="Times New Roman"/>
          <w:b/>
          <w:bCs/>
          <w:kern w:val="0"/>
          <w:sz w:val="36"/>
          <w:szCs w:val="36"/>
          <w14:ligatures w14:val="none"/>
        </w:rPr>
        <w:t>Question 1: Rampage Tour Break-Even</w:t>
      </w:r>
    </w:p>
    <w:p w14:paraId="18F1470D"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The heavy metal equation. Not the music—the math that separates stadium gods from garage bands.</w:t>
      </w:r>
    </w:p>
    <w:p w14:paraId="7B3F8E44"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t>Fixed Costs:</w:t>
      </w:r>
      <w:r w:rsidRPr="00483444">
        <w:rPr>
          <w:rFonts w:ascii="Times New Roman" w:eastAsia="Times New Roman" w:hAnsi="Times New Roman" w:cs="Times New Roman"/>
          <w:kern w:val="0"/>
          <w14:ligatures w14:val="none"/>
        </w:rPr>
        <w:t xml:space="preserve"> $1,210,000 (pre-production hemorrhage before the first power chord)</w:t>
      </w:r>
      <w:r w:rsidRPr="00483444">
        <w:rPr>
          <w:rFonts w:ascii="Times New Roman" w:eastAsia="Times New Roman" w:hAnsi="Times New Roman" w:cs="Times New Roman"/>
          <w:kern w:val="0"/>
          <w14:ligatures w14:val="none"/>
        </w:rPr>
        <w:br/>
      </w:r>
      <w:r w:rsidRPr="00483444">
        <w:rPr>
          <w:rFonts w:ascii="Times New Roman" w:eastAsia="Times New Roman" w:hAnsi="Times New Roman" w:cs="Times New Roman"/>
          <w:b/>
          <w:bCs/>
          <w:kern w:val="0"/>
          <w14:ligatures w14:val="none"/>
        </w:rPr>
        <w:t>Revenue per Show:</w:t>
      </w:r>
      <w:r w:rsidRPr="00483444">
        <w:rPr>
          <w:rFonts w:ascii="Times New Roman" w:eastAsia="Times New Roman" w:hAnsi="Times New Roman" w:cs="Times New Roman"/>
          <w:kern w:val="0"/>
          <w14:ligatures w14:val="none"/>
        </w:rPr>
        <w:t xml:space="preserve"> $200,000</w:t>
      </w:r>
      <w:r w:rsidRPr="00483444">
        <w:rPr>
          <w:rFonts w:ascii="Times New Roman" w:eastAsia="Times New Roman" w:hAnsi="Times New Roman" w:cs="Times New Roman"/>
          <w:kern w:val="0"/>
          <w14:ligatures w14:val="none"/>
        </w:rPr>
        <w:br/>
      </w:r>
      <w:r w:rsidRPr="00483444">
        <w:rPr>
          <w:rFonts w:ascii="Times New Roman" w:eastAsia="Times New Roman" w:hAnsi="Times New Roman" w:cs="Times New Roman"/>
          <w:b/>
          <w:bCs/>
          <w:kern w:val="0"/>
          <w14:ligatures w14:val="none"/>
        </w:rPr>
        <w:t>Variable Costs per Show:</w:t>
      </w:r>
      <w:r w:rsidRPr="00483444">
        <w:rPr>
          <w:rFonts w:ascii="Times New Roman" w:eastAsia="Times New Roman" w:hAnsi="Times New Roman" w:cs="Times New Roman"/>
          <w:kern w:val="0"/>
          <w14:ligatures w14:val="none"/>
        </w:rPr>
        <w:t xml:space="preserve"> $145,000</w:t>
      </w:r>
      <w:r w:rsidRPr="00483444">
        <w:rPr>
          <w:rFonts w:ascii="Times New Roman" w:eastAsia="Times New Roman" w:hAnsi="Times New Roman" w:cs="Times New Roman"/>
          <w:kern w:val="0"/>
          <w14:ligatures w14:val="none"/>
        </w:rPr>
        <w:br/>
      </w:r>
      <w:r w:rsidRPr="00483444">
        <w:rPr>
          <w:rFonts w:ascii="Times New Roman" w:eastAsia="Times New Roman" w:hAnsi="Times New Roman" w:cs="Times New Roman"/>
          <w:b/>
          <w:bCs/>
          <w:kern w:val="0"/>
          <w14:ligatures w14:val="none"/>
        </w:rPr>
        <w:t>Contribution Margin:</w:t>
      </w:r>
      <w:r w:rsidRPr="00483444">
        <w:rPr>
          <w:rFonts w:ascii="Times New Roman" w:eastAsia="Times New Roman" w:hAnsi="Times New Roman" w:cs="Times New Roman"/>
          <w:kern w:val="0"/>
          <w14:ligatures w14:val="none"/>
        </w:rPr>
        <w:t xml:space="preserve"> $200,000 - $145,000 = </w:t>
      </w:r>
      <w:r w:rsidRPr="00483444">
        <w:rPr>
          <w:rFonts w:ascii="Times New Roman" w:eastAsia="Times New Roman" w:hAnsi="Times New Roman" w:cs="Times New Roman"/>
          <w:b/>
          <w:bCs/>
          <w:kern w:val="0"/>
          <w14:ligatures w14:val="none"/>
        </w:rPr>
        <w:t>$55,000 per concert</w:t>
      </w:r>
    </w:p>
    <w:p w14:paraId="5041D105"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t>Break-Even Concerts = Fixed Costs ÷ Contribution Margin</w:t>
      </w:r>
      <w:r w:rsidRPr="00483444">
        <w:rPr>
          <w:rFonts w:ascii="Times New Roman" w:eastAsia="Times New Roman" w:hAnsi="Times New Roman" w:cs="Times New Roman"/>
          <w:kern w:val="0"/>
          <w14:ligatures w14:val="none"/>
        </w:rPr>
        <w:br/>
      </w:r>
      <w:r w:rsidRPr="00483444">
        <w:rPr>
          <w:rFonts w:ascii="Times New Roman" w:eastAsia="Times New Roman" w:hAnsi="Times New Roman" w:cs="Times New Roman"/>
          <w:b/>
          <w:bCs/>
          <w:kern w:val="0"/>
          <w14:ligatures w14:val="none"/>
        </w:rPr>
        <w:t>BEQ = $1,210,000 ÷ $55,000 = 22 concerts</w:t>
      </w:r>
    </w:p>
    <w:p w14:paraId="07FC927F"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Twenty-two shows before profit breathes. That's 44% of the tour grinding just to zero out. The Pattern Recognition Matrix™ screams what Chapter 5 confirms: efficiency (minimum resources) meets effectiveness (hitting the target) at exactly 22 shows. Beyond that? Pure earning power—where Net Profit Margin × Asset Turnover becomes ROI.</w:t>
      </w:r>
    </w:p>
    <w:p w14:paraId="7F8CD844"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In football terms, you're playing defense the entire first half. The Cognitive Load Distribution™ peaks at show 15—when fatigue meets finance, when the tour bus smells like defeat but the numbers demand seven more cities. Memphis taught me: you don't quit at 21. You breakthrough at 22.</w:t>
      </w:r>
    </w:p>
    <w:p w14:paraId="5951A981"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noProof/>
          <w:kern w:val="0"/>
          <w14:ligatures w14:val="none"/>
        </w:rPr>
      </w:r>
      <w:r w:rsidR="00483444" w:rsidRPr="00483444">
        <w:rPr>
          <w:rFonts w:ascii="Times New Roman" w:eastAsia="Times New Roman" w:hAnsi="Times New Roman" w:cs="Times New Roman"/>
          <w:noProof/>
          <w:kern w:val="0"/>
          <w14:ligatures w14:val="none"/>
        </w:rPr>
        <w:pict w14:anchorId="114A14C3">
          <v:rect id="_x0000_i1026" alt="" style="width:468pt;height:.05pt;mso-width-percent:0;mso-height-percent:0;mso-width-percent:0;mso-height-percent:0" o:hralign="center" o:hrstd="t" o:hr="t" fillcolor="#a0a0a0" stroked="f"/>
        </w:pict>
      </w:r>
    </w:p>
    <w:p w14:paraId="2CE09CFF" w14:textId="77777777" w:rsidR="00483444" w:rsidRPr="00483444" w:rsidRDefault="00483444" w:rsidP="004834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3444">
        <w:rPr>
          <w:rFonts w:ascii="Times New Roman" w:eastAsia="Times New Roman" w:hAnsi="Times New Roman" w:cs="Times New Roman"/>
          <w:b/>
          <w:bCs/>
          <w:kern w:val="0"/>
          <w:sz w:val="36"/>
          <w:szCs w:val="36"/>
          <w14:ligatures w14:val="none"/>
        </w:rPr>
        <w:t>Question 2: The Hat Hustle Decode</w:t>
      </w:r>
    </w:p>
    <w:p w14:paraId="3FF3A207"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 xml:space="preserve">Invoice hieroglyphics: </w:t>
      </w:r>
      <w:r w:rsidRPr="00483444">
        <w:rPr>
          <w:rFonts w:ascii="Times New Roman" w:eastAsia="Times New Roman" w:hAnsi="Times New Roman" w:cs="Times New Roman"/>
          <w:b/>
          <w:bCs/>
          <w:kern w:val="0"/>
          <w14:ligatures w14:val="none"/>
        </w:rPr>
        <w:t>"5/15 n60"</w:t>
      </w:r>
    </w:p>
    <w:p w14:paraId="009BB3A6"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Translation from supplier-speak to Decision Velocity™:</w:t>
      </w:r>
    </w:p>
    <w:p w14:paraId="70479742" w14:textId="77777777" w:rsidR="00483444" w:rsidRPr="00483444" w:rsidRDefault="00483444" w:rsidP="0048344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t>5% discount</w:t>
      </w:r>
      <w:r w:rsidRPr="00483444">
        <w:rPr>
          <w:rFonts w:ascii="Times New Roman" w:eastAsia="Times New Roman" w:hAnsi="Times New Roman" w:cs="Times New Roman"/>
          <w:kern w:val="0"/>
          <w14:ligatures w14:val="none"/>
        </w:rPr>
        <w:t xml:space="preserve"> if you pay within </w:t>
      </w:r>
      <w:r w:rsidRPr="00483444">
        <w:rPr>
          <w:rFonts w:ascii="Times New Roman" w:eastAsia="Times New Roman" w:hAnsi="Times New Roman" w:cs="Times New Roman"/>
          <w:b/>
          <w:bCs/>
          <w:kern w:val="0"/>
          <w14:ligatures w14:val="none"/>
        </w:rPr>
        <w:t>15 days</w:t>
      </w:r>
    </w:p>
    <w:p w14:paraId="0582A269" w14:textId="77777777" w:rsidR="00483444" w:rsidRPr="00483444" w:rsidRDefault="00483444" w:rsidP="0048344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 xml:space="preserve">Full </w:t>
      </w:r>
      <w:r w:rsidRPr="00483444">
        <w:rPr>
          <w:rFonts w:ascii="Times New Roman" w:eastAsia="Times New Roman" w:hAnsi="Times New Roman" w:cs="Times New Roman"/>
          <w:b/>
          <w:bCs/>
          <w:kern w:val="0"/>
          <w14:ligatures w14:val="none"/>
        </w:rPr>
        <w:t>$5,000</w:t>
      </w:r>
      <w:r w:rsidRPr="00483444">
        <w:rPr>
          <w:rFonts w:ascii="Times New Roman" w:eastAsia="Times New Roman" w:hAnsi="Times New Roman" w:cs="Times New Roman"/>
          <w:kern w:val="0"/>
          <w14:ligatures w14:val="none"/>
        </w:rPr>
        <w:t xml:space="preserve"> due in </w:t>
      </w:r>
      <w:r w:rsidRPr="00483444">
        <w:rPr>
          <w:rFonts w:ascii="Times New Roman" w:eastAsia="Times New Roman" w:hAnsi="Times New Roman" w:cs="Times New Roman"/>
          <w:b/>
          <w:bCs/>
          <w:kern w:val="0"/>
          <w14:ligatures w14:val="none"/>
        </w:rPr>
        <w:t>60 days</w:t>
      </w:r>
      <w:r w:rsidRPr="00483444">
        <w:rPr>
          <w:rFonts w:ascii="Times New Roman" w:eastAsia="Times New Roman" w:hAnsi="Times New Roman" w:cs="Times New Roman"/>
          <w:kern w:val="0"/>
          <w14:ligatures w14:val="none"/>
        </w:rPr>
        <w:t xml:space="preserve"> if you sleep on it</w:t>
      </w:r>
    </w:p>
    <w:p w14:paraId="7F9D5681"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lastRenderedPageBreak/>
        <w:t>Discount in dollars:</w:t>
      </w:r>
      <w:r w:rsidRPr="00483444">
        <w:rPr>
          <w:rFonts w:ascii="Times New Roman" w:eastAsia="Times New Roman" w:hAnsi="Times New Roman" w:cs="Times New Roman"/>
          <w:kern w:val="0"/>
          <w14:ligatures w14:val="none"/>
        </w:rPr>
        <w:t xml:space="preserve"> $5,000 × 0.05 = </w:t>
      </w:r>
      <w:r w:rsidRPr="00483444">
        <w:rPr>
          <w:rFonts w:ascii="Times New Roman" w:eastAsia="Times New Roman" w:hAnsi="Times New Roman" w:cs="Times New Roman"/>
          <w:b/>
          <w:bCs/>
          <w:kern w:val="0"/>
          <w14:ligatures w14:val="none"/>
        </w:rPr>
        <w:t>$250</w:t>
      </w:r>
    </w:p>
    <w:p w14:paraId="520C9430"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But here's where Chapter 7's trade discount math becomes prophecy:</w:t>
      </w:r>
    </w:p>
    <w:p w14:paraId="479DE2E8"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t>Effective Annual Rate = (Discount ÷ (1-Discount)) × (360 ÷ (Full days - Discount days))</w:t>
      </w:r>
      <w:r w:rsidRPr="00483444">
        <w:rPr>
          <w:rFonts w:ascii="Times New Roman" w:eastAsia="Times New Roman" w:hAnsi="Times New Roman" w:cs="Times New Roman"/>
          <w:kern w:val="0"/>
          <w14:ligatures w14:val="none"/>
        </w:rPr>
        <w:br/>
      </w:r>
      <w:r w:rsidRPr="00483444">
        <w:rPr>
          <w:rFonts w:ascii="Times New Roman" w:eastAsia="Times New Roman" w:hAnsi="Times New Roman" w:cs="Times New Roman"/>
          <w:b/>
          <w:bCs/>
          <w:kern w:val="0"/>
          <w14:ligatures w14:val="none"/>
        </w:rPr>
        <w:t>= (0.05 ÷ 0.95) × (360 ÷ 45) = 0.0526 × 8 = 42.1% APR</w:t>
      </w:r>
    </w:p>
    <w:p w14:paraId="0F16C696"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That's not a discount—that's legal loan sharking in reverse. You're earning 42.1% annualized by paying 45 days early. Even Northwestern Mutual's best products can't touch that. The Pattern Recognition here? Every invoice is a hidden investment opportunity. Pay in 15 days with a credit line at 18% if necessary. Pocket the 24.1% spread. That's how FedEx built an empire—velocity arbitrage.</w:t>
      </w:r>
    </w:p>
    <w:p w14:paraId="77CD15F8"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noProof/>
          <w:kern w:val="0"/>
          <w14:ligatures w14:val="none"/>
        </w:rPr>
      </w:r>
      <w:r w:rsidR="00483444" w:rsidRPr="00483444">
        <w:rPr>
          <w:rFonts w:ascii="Times New Roman" w:eastAsia="Times New Roman" w:hAnsi="Times New Roman" w:cs="Times New Roman"/>
          <w:noProof/>
          <w:kern w:val="0"/>
          <w14:ligatures w14:val="none"/>
        </w:rPr>
        <w:pict w14:anchorId="620B39F1">
          <v:rect id="_x0000_i1027" alt="" style="width:468pt;height:.05pt;mso-width-percent:0;mso-height-percent:0;mso-width-percent:0;mso-height-percent:0" o:hralign="center" o:hrstd="t" o:hr="t" fillcolor="#a0a0a0" stroked="f"/>
        </w:pict>
      </w:r>
    </w:p>
    <w:p w14:paraId="11D0D51D" w14:textId="77777777" w:rsidR="00483444" w:rsidRPr="00483444" w:rsidRDefault="00483444" w:rsidP="004834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3444">
        <w:rPr>
          <w:rFonts w:ascii="Times New Roman" w:eastAsia="Times New Roman" w:hAnsi="Times New Roman" w:cs="Times New Roman"/>
          <w:b/>
          <w:bCs/>
          <w:kern w:val="0"/>
          <w:sz w:val="36"/>
          <w:szCs w:val="36"/>
          <w14:ligatures w14:val="none"/>
        </w:rPr>
        <w:t>Question 3: The Working Capital Gauntlet</w:t>
      </w:r>
    </w:p>
    <w:p w14:paraId="138C8358"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t>Monthly Cash Flow Dissection: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940"/>
        <w:gridCol w:w="1007"/>
        <w:gridCol w:w="1994"/>
        <w:gridCol w:w="1576"/>
      </w:tblGrid>
      <w:tr w:rsidR="00483444" w:rsidRPr="00483444" w14:paraId="79D2CB90" w14:textId="77777777" w:rsidTr="00483444">
        <w:trPr>
          <w:tblHeader/>
          <w:tblCellSpacing w:w="15" w:type="dxa"/>
        </w:trPr>
        <w:tc>
          <w:tcPr>
            <w:tcW w:w="0" w:type="auto"/>
            <w:vAlign w:val="center"/>
            <w:hideMark/>
          </w:tcPr>
          <w:p w14:paraId="1097773A" w14:textId="77777777" w:rsidR="00483444" w:rsidRPr="00483444" w:rsidRDefault="00483444" w:rsidP="00483444">
            <w:pPr>
              <w:spacing w:after="0" w:line="240" w:lineRule="auto"/>
              <w:jc w:val="center"/>
              <w:rPr>
                <w:rFonts w:ascii="Times New Roman" w:eastAsia="Times New Roman" w:hAnsi="Times New Roman" w:cs="Times New Roman"/>
                <w:b/>
                <w:bCs/>
                <w:kern w:val="0"/>
                <w14:ligatures w14:val="none"/>
              </w:rPr>
            </w:pPr>
            <w:r w:rsidRPr="00483444">
              <w:rPr>
                <w:rFonts w:ascii="Times New Roman" w:eastAsia="Times New Roman" w:hAnsi="Times New Roman" w:cs="Times New Roman"/>
                <w:b/>
                <w:bCs/>
                <w:kern w:val="0"/>
                <w14:ligatures w14:val="none"/>
              </w:rPr>
              <w:t>Month</w:t>
            </w:r>
          </w:p>
        </w:tc>
        <w:tc>
          <w:tcPr>
            <w:tcW w:w="0" w:type="auto"/>
            <w:vAlign w:val="center"/>
            <w:hideMark/>
          </w:tcPr>
          <w:p w14:paraId="1DC59EA6" w14:textId="77777777" w:rsidR="00483444" w:rsidRPr="00483444" w:rsidRDefault="00483444" w:rsidP="00483444">
            <w:pPr>
              <w:spacing w:after="0" w:line="240" w:lineRule="auto"/>
              <w:jc w:val="center"/>
              <w:rPr>
                <w:rFonts w:ascii="Times New Roman" w:eastAsia="Times New Roman" w:hAnsi="Times New Roman" w:cs="Times New Roman"/>
                <w:b/>
                <w:bCs/>
                <w:kern w:val="0"/>
                <w14:ligatures w14:val="none"/>
              </w:rPr>
            </w:pPr>
            <w:r w:rsidRPr="00483444">
              <w:rPr>
                <w:rFonts w:ascii="Times New Roman" w:eastAsia="Times New Roman" w:hAnsi="Times New Roman" w:cs="Times New Roman"/>
                <w:b/>
                <w:bCs/>
                <w:kern w:val="0"/>
                <w14:ligatures w14:val="none"/>
              </w:rPr>
              <w:t>Revenue</w:t>
            </w:r>
          </w:p>
        </w:tc>
        <w:tc>
          <w:tcPr>
            <w:tcW w:w="0" w:type="auto"/>
            <w:vAlign w:val="center"/>
            <w:hideMark/>
          </w:tcPr>
          <w:p w14:paraId="41641115" w14:textId="77777777" w:rsidR="00483444" w:rsidRPr="00483444" w:rsidRDefault="00483444" w:rsidP="00483444">
            <w:pPr>
              <w:spacing w:after="0" w:line="240" w:lineRule="auto"/>
              <w:jc w:val="center"/>
              <w:rPr>
                <w:rFonts w:ascii="Times New Roman" w:eastAsia="Times New Roman" w:hAnsi="Times New Roman" w:cs="Times New Roman"/>
                <w:b/>
                <w:bCs/>
                <w:kern w:val="0"/>
                <w14:ligatures w14:val="none"/>
              </w:rPr>
            </w:pPr>
            <w:r w:rsidRPr="00483444">
              <w:rPr>
                <w:rFonts w:ascii="Times New Roman" w:eastAsia="Times New Roman" w:hAnsi="Times New Roman" w:cs="Times New Roman"/>
                <w:b/>
                <w:bCs/>
                <w:kern w:val="0"/>
                <w14:ligatures w14:val="none"/>
              </w:rPr>
              <w:t>Expenses</w:t>
            </w:r>
          </w:p>
        </w:tc>
        <w:tc>
          <w:tcPr>
            <w:tcW w:w="0" w:type="auto"/>
            <w:vAlign w:val="center"/>
            <w:hideMark/>
          </w:tcPr>
          <w:p w14:paraId="36F0371C" w14:textId="77777777" w:rsidR="00483444" w:rsidRPr="00483444" w:rsidRDefault="00483444" w:rsidP="00483444">
            <w:pPr>
              <w:spacing w:after="0" w:line="240" w:lineRule="auto"/>
              <w:jc w:val="center"/>
              <w:rPr>
                <w:rFonts w:ascii="Times New Roman" w:eastAsia="Times New Roman" w:hAnsi="Times New Roman" w:cs="Times New Roman"/>
                <w:b/>
                <w:bCs/>
                <w:kern w:val="0"/>
                <w14:ligatures w14:val="none"/>
              </w:rPr>
            </w:pPr>
            <w:r w:rsidRPr="00483444">
              <w:rPr>
                <w:rFonts w:ascii="Times New Roman" w:eastAsia="Times New Roman" w:hAnsi="Times New Roman" w:cs="Times New Roman"/>
                <w:b/>
                <w:bCs/>
                <w:kern w:val="0"/>
                <w14:ligatures w14:val="none"/>
              </w:rPr>
              <w:t>Surplus/(Shortfall)</w:t>
            </w:r>
          </w:p>
        </w:tc>
        <w:tc>
          <w:tcPr>
            <w:tcW w:w="0" w:type="auto"/>
            <w:vAlign w:val="center"/>
            <w:hideMark/>
          </w:tcPr>
          <w:p w14:paraId="387EF6E7" w14:textId="77777777" w:rsidR="00483444" w:rsidRPr="00483444" w:rsidRDefault="00483444" w:rsidP="00483444">
            <w:pPr>
              <w:spacing w:after="0" w:line="240" w:lineRule="auto"/>
              <w:jc w:val="center"/>
              <w:rPr>
                <w:rFonts w:ascii="Times New Roman" w:eastAsia="Times New Roman" w:hAnsi="Times New Roman" w:cs="Times New Roman"/>
                <w:b/>
                <w:bCs/>
                <w:kern w:val="0"/>
                <w14:ligatures w14:val="none"/>
              </w:rPr>
            </w:pPr>
            <w:r w:rsidRPr="00483444">
              <w:rPr>
                <w:rFonts w:ascii="Times New Roman" w:eastAsia="Times New Roman" w:hAnsi="Times New Roman" w:cs="Times New Roman"/>
                <w:b/>
                <w:bCs/>
                <w:kern w:val="0"/>
                <w14:ligatures w14:val="none"/>
              </w:rPr>
              <w:t>Running Total</w:t>
            </w:r>
          </w:p>
        </w:tc>
      </w:tr>
      <w:tr w:rsidR="00483444" w:rsidRPr="00483444" w14:paraId="21DE530F" w14:textId="77777777" w:rsidTr="00483444">
        <w:trPr>
          <w:tblCellSpacing w:w="15" w:type="dxa"/>
        </w:trPr>
        <w:tc>
          <w:tcPr>
            <w:tcW w:w="0" w:type="auto"/>
            <w:vAlign w:val="center"/>
            <w:hideMark/>
          </w:tcPr>
          <w:p w14:paraId="26D856BD"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1</w:t>
            </w:r>
          </w:p>
        </w:tc>
        <w:tc>
          <w:tcPr>
            <w:tcW w:w="0" w:type="auto"/>
            <w:vAlign w:val="center"/>
            <w:hideMark/>
          </w:tcPr>
          <w:p w14:paraId="54845B10"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$9,000</w:t>
            </w:r>
          </w:p>
        </w:tc>
        <w:tc>
          <w:tcPr>
            <w:tcW w:w="0" w:type="auto"/>
            <w:vAlign w:val="center"/>
            <w:hideMark/>
          </w:tcPr>
          <w:p w14:paraId="74A65CCF"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$18,000</w:t>
            </w:r>
          </w:p>
        </w:tc>
        <w:tc>
          <w:tcPr>
            <w:tcW w:w="0" w:type="auto"/>
            <w:vAlign w:val="center"/>
            <w:hideMark/>
          </w:tcPr>
          <w:p w14:paraId="2D4375E6"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t>($9,000)</w:t>
            </w:r>
          </w:p>
        </w:tc>
        <w:tc>
          <w:tcPr>
            <w:tcW w:w="0" w:type="auto"/>
            <w:vAlign w:val="center"/>
            <w:hideMark/>
          </w:tcPr>
          <w:p w14:paraId="100EC669"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t>($9,000)</w:t>
            </w:r>
          </w:p>
        </w:tc>
      </w:tr>
      <w:tr w:rsidR="00483444" w:rsidRPr="00483444" w14:paraId="33C886FF" w14:textId="77777777" w:rsidTr="00483444">
        <w:trPr>
          <w:tblCellSpacing w:w="15" w:type="dxa"/>
        </w:trPr>
        <w:tc>
          <w:tcPr>
            <w:tcW w:w="0" w:type="auto"/>
            <w:vAlign w:val="center"/>
            <w:hideMark/>
          </w:tcPr>
          <w:p w14:paraId="692520AB"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2</w:t>
            </w:r>
          </w:p>
        </w:tc>
        <w:tc>
          <w:tcPr>
            <w:tcW w:w="0" w:type="auto"/>
            <w:vAlign w:val="center"/>
            <w:hideMark/>
          </w:tcPr>
          <w:p w14:paraId="50631F21"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$12,000</w:t>
            </w:r>
          </w:p>
        </w:tc>
        <w:tc>
          <w:tcPr>
            <w:tcW w:w="0" w:type="auto"/>
            <w:vAlign w:val="center"/>
            <w:hideMark/>
          </w:tcPr>
          <w:p w14:paraId="05AE1B1F"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$18,000</w:t>
            </w:r>
          </w:p>
        </w:tc>
        <w:tc>
          <w:tcPr>
            <w:tcW w:w="0" w:type="auto"/>
            <w:vAlign w:val="center"/>
            <w:hideMark/>
          </w:tcPr>
          <w:p w14:paraId="0353177B"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t>($6,000)</w:t>
            </w:r>
          </w:p>
        </w:tc>
        <w:tc>
          <w:tcPr>
            <w:tcW w:w="0" w:type="auto"/>
            <w:vAlign w:val="center"/>
            <w:hideMark/>
          </w:tcPr>
          <w:p w14:paraId="25B88B66"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t>($15,000)</w:t>
            </w:r>
          </w:p>
        </w:tc>
      </w:tr>
      <w:tr w:rsidR="00483444" w:rsidRPr="00483444" w14:paraId="0E76AC70" w14:textId="77777777" w:rsidTr="00483444">
        <w:trPr>
          <w:tblCellSpacing w:w="15" w:type="dxa"/>
        </w:trPr>
        <w:tc>
          <w:tcPr>
            <w:tcW w:w="0" w:type="auto"/>
            <w:vAlign w:val="center"/>
            <w:hideMark/>
          </w:tcPr>
          <w:p w14:paraId="2EEFC54C"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3</w:t>
            </w:r>
          </w:p>
        </w:tc>
        <w:tc>
          <w:tcPr>
            <w:tcW w:w="0" w:type="auto"/>
            <w:vAlign w:val="center"/>
            <w:hideMark/>
          </w:tcPr>
          <w:p w14:paraId="3F70B439"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$21,000</w:t>
            </w:r>
          </w:p>
        </w:tc>
        <w:tc>
          <w:tcPr>
            <w:tcW w:w="0" w:type="auto"/>
            <w:vAlign w:val="center"/>
            <w:hideMark/>
          </w:tcPr>
          <w:p w14:paraId="61BED0B6"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$18,000</w:t>
            </w:r>
          </w:p>
        </w:tc>
        <w:tc>
          <w:tcPr>
            <w:tcW w:w="0" w:type="auto"/>
            <w:vAlign w:val="center"/>
            <w:hideMark/>
          </w:tcPr>
          <w:p w14:paraId="7059C66F"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t>$3,000</w:t>
            </w:r>
          </w:p>
        </w:tc>
        <w:tc>
          <w:tcPr>
            <w:tcW w:w="0" w:type="auto"/>
            <w:vAlign w:val="center"/>
            <w:hideMark/>
          </w:tcPr>
          <w:p w14:paraId="3F1E74E1"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t>($12,000)</w:t>
            </w:r>
          </w:p>
        </w:tc>
      </w:tr>
      <w:tr w:rsidR="00483444" w:rsidRPr="00483444" w14:paraId="2A3FC10F" w14:textId="77777777" w:rsidTr="00483444">
        <w:trPr>
          <w:tblCellSpacing w:w="15" w:type="dxa"/>
        </w:trPr>
        <w:tc>
          <w:tcPr>
            <w:tcW w:w="0" w:type="auto"/>
            <w:vAlign w:val="center"/>
            <w:hideMark/>
          </w:tcPr>
          <w:p w14:paraId="79C21036"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4</w:t>
            </w:r>
          </w:p>
        </w:tc>
        <w:tc>
          <w:tcPr>
            <w:tcW w:w="0" w:type="auto"/>
            <w:vAlign w:val="center"/>
            <w:hideMark/>
          </w:tcPr>
          <w:p w14:paraId="24F4EB6B"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$24,000</w:t>
            </w:r>
          </w:p>
        </w:tc>
        <w:tc>
          <w:tcPr>
            <w:tcW w:w="0" w:type="auto"/>
            <w:vAlign w:val="center"/>
            <w:hideMark/>
          </w:tcPr>
          <w:p w14:paraId="62F82ED4"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$28,000</w:t>
            </w:r>
          </w:p>
        </w:tc>
        <w:tc>
          <w:tcPr>
            <w:tcW w:w="0" w:type="auto"/>
            <w:vAlign w:val="center"/>
            <w:hideMark/>
          </w:tcPr>
          <w:p w14:paraId="66295561"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t>($4,000)</w:t>
            </w:r>
          </w:p>
        </w:tc>
        <w:tc>
          <w:tcPr>
            <w:tcW w:w="0" w:type="auto"/>
            <w:vAlign w:val="center"/>
            <w:hideMark/>
          </w:tcPr>
          <w:p w14:paraId="5ABD4653"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t>($16,000)</w:t>
            </w:r>
          </w:p>
        </w:tc>
      </w:tr>
      <w:tr w:rsidR="00483444" w:rsidRPr="00483444" w14:paraId="3D4F32BD" w14:textId="77777777" w:rsidTr="00483444">
        <w:trPr>
          <w:tblCellSpacing w:w="15" w:type="dxa"/>
        </w:trPr>
        <w:tc>
          <w:tcPr>
            <w:tcW w:w="0" w:type="auto"/>
            <w:vAlign w:val="center"/>
            <w:hideMark/>
          </w:tcPr>
          <w:p w14:paraId="6ADE2D4B"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5</w:t>
            </w:r>
          </w:p>
        </w:tc>
        <w:tc>
          <w:tcPr>
            <w:tcW w:w="0" w:type="auto"/>
            <w:vAlign w:val="center"/>
            <w:hideMark/>
          </w:tcPr>
          <w:p w14:paraId="687C9612"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$29,000</w:t>
            </w:r>
          </w:p>
        </w:tc>
        <w:tc>
          <w:tcPr>
            <w:tcW w:w="0" w:type="auto"/>
            <w:vAlign w:val="center"/>
            <w:hideMark/>
          </w:tcPr>
          <w:p w14:paraId="0E962C19"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$28,000</w:t>
            </w:r>
          </w:p>
        </w:tc>
        <w:tc>
          <w:tcPr>
            <w:tcW w:w="0" w:type="auto"/>
            <w:vAlign w:val="center"/>
            <w:hideMark/>
          </w:tcPr>
          <w:p w14:paraId="322682B7"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t>$1,000</w:t>
            </w:r>
          </w:p>
        </w:tc>
        <w:tc>
          <w:tcPr>
            <w:tcW w:w="0" w:type="auto"/>
            <w:vAlign w:val="center"/>
            <w:hideMark/>
          </w:tcPr>
          <w:p w14:paraId="0A7172D6"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t>($15,000)</w:t>
            </w:r>
          </w:p>
        </w:tc>
      </w:tr>
      <w:tr w:rsidR="00483444" w:rsidRPr="00483444" w14:paraId="418CA81F" w14:textId="77777777" w:rsidTr="00483444">
        <w:trPr>
          <w:tblCellSpacing w:w="15" w:type="dxa"/>
        </w:trPr>
        <w:tc>
          <w:tcPr>
            <w:tcW w:w="0" w:type="auto"/>
            <w:vAlign w:val="center"/>
            <w:hideMark/>
          </w:tcPr>
          <w:p w14:paraId="225A62F0"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6</w:t>
            </w:r>
          </w:p>
        </w:tc>
        <w:tc>
          <w:tcPr>
            <w:tcW w:w="0" w:type="auto"/>
            <w:vAlign w:val="center"/>
            <w:hideMark/>
          </w:tcPr>
          <w:p w14:paraId="009268B5"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$36,000</w:t>
            </w:r>
          </w:p>
        </w:tc>
        <w:tc>
          <w:tcPr>
            <w:tcW w:w="0" w:type="auto"/>
            <w:vAlign w:val="center"/>
            <w:hideMark/>
          </w:tcPr>
          <w:p w14:paraId="0BC7A13A"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$31,000</w:t>
            </w:r>
          </w:p>
        </w:tc>
        <w:tc>
          <w:tcPr>
            <w:tcW w:w="0" w:type="auto"/>
            <w:vAlign w:val="center"/>
            <w:hideMark/>
          </w:tcPr>
          <w:p w14:paraId="0480EDC4"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t>$5,000</w:t>
            </w:r>
          </w:p>
        </w:tc>
        <w:tc>
          <w:tcPr>
            <w:tcW w:w="0" w:type="auto"/>
            <w:vAlign w:val="center"/>
            <w:hideMark/>
          </w:tcPr>
          <w:p w14:paraId="612E1FF3"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t>($10,000)</w:t>
            </w:r>
          </w:p>
        </w:tc>
      </w:tr>
    </w:tbl>
    <w:p w14:paraId="4C1A92A4"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t>Maximum Working Capital Requirement: $16,000</w:t>
      </w:r>
    </w:p>
    <w:p w14:paraId="32786E34"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Month 4 is the kill shot—the deepest bleed at ($16,000). That's your Net Working Capital nightmare, where Current Assets minus Current Liabilities goes full cardiac arrest. Chapter 7 calls this the cash cycle crisis: when Inventory Days + Receivables Days - Payables Days = Death Valley.</w:t>
      </w:r>
    </w:p>
    <w:p w14:paraId="51288573"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The Cognitive Load Distribution™ explodes here. Every decision weighs triple. Do you delay payables? Accelerate collections with 2/10 net 30 terms? Install lockboxes to cut float by 3 days? At ($16,000), you're not managing money—you're managing mortality. This is fourth-and-long from your own 20, down by 7, no timeouts. The playbook says: secure a $20,000 credit line. Use $16,000. Keep $4,000 for when Month 7 surprises you. Because it always does.</w:t>
      </w:r>
    </w:p>
    <w:p w14:paraId="1A946E56"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noProof/>
          <w:kern w:val="0"/>
          <w14:ligatures w14:val="none"/>
        </w:rPr>
      </w:r>
      <w:r w:rsidR="00483444" w:rsidRPr="00483444">
        <w:rPr>
          <w:rFonts w:ascii="Times New Roman" w:eastAsia="Times New Roman" w:hAnsi="Times New Roman" w:cs="Times New Roman"/>
          <w:noProof/>
          <w:kern w:val="0"/>
          <w14:ligatures w14:val="none"/>
        </w:rPr>
        <w:pict w14:anchorId="63BAC47A">
          <v:rect id="_x0000_i1028" alt="" style="width:468pt;height:.05pt;mso-width-percent:0;mso-height-percent:0;mso-width-percent:0;mso-height-percent:0" o:hralign="center" o:hrstd="t" o:hr="t" fillcolor="#a0a0a0" stroked="f"/>
        </w:pict>
      </w:r>
    </w:p>
    <w:p w14:paraId="4B599FC0" w14:textId="77777777" w:rsidR="00483444" w:rsidRPr="00483444" w:rsidRDefault="00483444" w:rsidP="004834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3444">
        <w:rPr>
          <w:rFonts w:ascii="Times New Roman" w:eastAsia="Times New Roman" w:hAnsi="Times New Roman" w:cs="Times New Roman"/>
          <w:b/>
          <w:bCs/>
          <w:kern w:val="0"/>
          <w:sz w:val="36"/>
          <w:szCs w:val="36"/>
          <w14:ligatures w14:val="none"/>
        </w:rPr>
        <w:t>Question 4: The Sovereign Investment Trinity</w:t>
      </w:r>
    </w:p>
    <w:p w14:paraId="48525FAB"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lastRenderedPageBreak/>
        <w:t>Fresh capital after debt execution. Time to weaponize Chapter 8's time value principles:</w:t>
      </w:r>
    </w:p>
    <w:p w14:paraId="1B2CF193" w14:textId="77777777" w:rsidR="00483444" w:rsidRPr="00483444" w:rsidRDefault="00483444" w:rsidP="004834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3444">
        <w:rPr>
          <w:rFonts w:ascii="Times New Roman" w:eastAsia="Times New Roman" w:hAnsi="Times New Roman" w:cs="Times New Roman"/>
          <w:b/>
          <w:bCs/>
          <w:kern w:val="0"/>
          <w:sz w:val="27"/>
          <w:szCs w:val="27"/>
          <w14:ligatures w14:val="none"/>
        </w:rPr>
        <w:t>1. High-Yield Savings Account (Marcus by Goldman Sachs)</w:t>
      </w:r>
    </w:p>
    <w:p w14:paraId="263C4EB3"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Currently yielding 4.40% APY—pedestrian returns for emergency oxygen. This is your Zero-Balance Account philosophy from Chapter 7: keep minimum cash, invest the rest. Park 6 months of expenses here ($30,000 based on Month 6 burn rate). Why? Because liquidity isn't sexy until you can't make payroll. The Decision Velocity™ of accessible cash beats the opportunity cost of chasing yield. Memphis lesson: you can't deposit potential. (Federal Reserve, 2025).</w:t>
      </w:r>
    </w:p>
    <w:p w14:paraId="72A3E8A4" w14:textId="77777777" w:rsidR="00483444" w:rsidRPr="00483444" w:rsidRDefault="00483444" w:rsidP="004834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3444">
        <w:rPr>
          <w:rFonts w:ascii="Times New Roman" w:eastAsia="Times New Roman" w:hAnsi="Times New Roman" w:cs="Times New Roman"/>
          <w:b/>
          <w:bCs/>
          <w:kern w:val="0"/>
          <w:sz w:val="27"/>
          <w:szCs w:val="27"/>
          <w14:ligatures w14:val="none"/>
        </w:rPr>
        <w:t>2. S&amp;P 500 Index Fund (VOO)</w:t>
      </w:r>
    </w:p>
    <w:p w14:paraId="1520BD96"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Historical 10.5% annual return with 0.03% expense ratio. This is Net Present Value in reverse—instead of discounting future cash flows, you're compounding present capital. The Pattern Recognition Matrix™ shows market timing is mythology; time in market is methodology. Dollar-cost average $2,000 monthly. Let compound interest run the same play American capitalism has run for 200 years: slow, steady, inevitable. Like Elvis's catalog—appreciates whether you're watching or not. (Vanguard Research, 2024).</w:t>
      </w:r>
    </w:p>
    <w:p w14:paraId="2415ED73" w14:textId="77777777" w:rsidR="00483444" w:rsidRPr="00483444" w:rsidRDefault="00483444" w:rsidP="004834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3444">
        <w:rPr>
          <w:rFonts w:ascii="Times New Roman" w:eastAsia="Times New Roman" w:hAnsi="Times New Roman" w:cs="Times New Roman"/>
          <w:b/>
          <w:bCs/>
          <w:kern w:val="0"/>
          <w:sz w:val="27"/>
          <w:szCs w:val="27"/>
          <w14:ligatures w14:val="none"/>
        </w:rPr>
        <w:t>3. Real Estate Investment Trust (Realty Income - O)</w:t>
      </w:r>
    </w:p>
    <w:p w14:paraId="784312F7"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"The Monthly Dividend Company" throwing 5.5% yield paid monthly like clockwork. This is your annuity due from Chapter 9—payments at the beginning of each period. They own where America shops (Walgreens), eats (7-Eleven), and sweats (LA Fitness). Triple-net leases mean tenants pay everything while you collect mailbox money. Inflation-protected income meets Decision Velocity™. Because passive income is the ultimate fourth-quarter defense. (NAREIT, 2025).</w:t>
      </w:r>
    </w:p>
    <w:p w14:paraId="403B84CB"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t>The Portfolio Pyramid:</w:t>
      </w:r>
      <w:r w:rsidRPr="00483444">
        <w:rPr>
          <w:rFonts w:ascii="Times New Roman" w:eastAsia="Times New Roman" w:hAnsi="Times New Roman" w:cs="Times New Roman"/>
          <w:kern w:val="0"/>
          <w14:ligatures w14:val="none"/>
        </w:rPr>
        <w:t xml:space="preserve"> 30% liquid defense (HYSA), 50% growth offense (VOO), 20% income special teams (O). Boring wins championships.</w:t>
      </w:r>
    </w:p>
    <w:p w14:paraId="46622B59"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noProof/>
          <w:kern w:val="0"/>
          <w14:ligatures w14:val="none"/>
        </w:rPr>
      </w:r>
      <w:r w:rsidR="00483444" w:rsidRPr="00483444">
        <w:rPr>
          <w:rFonts w:ascii="Times New Roman" w:eastAsia="Times New Roman" w:hAnsi="Times New Roman" w:cs="Times New Roman"/>
          <w:noProof/>
          <w:kern w:val="0"/>
          <w14:ligatures w14:val="none"/>
        </w:rPr>
        <w:pict w14:anchorId="0F107076">
          <v:rect id="_x0000_i1029" alt="" style="width:468pt;height:.05pt;mso-width-percent:0;mso-height-percent:0;mso-width-percent:0;mso-height-percent:0" o:hralign="center" o:hrstd="t" o:hr="t" fillcolor="#a0a0a0" stroked="f"/>
        </w:pict>
      </w:r>
    </w:p>
    <w:p w14:paraId="3F25D9BC" w14:textId="77777777" w:rsidR="00483444" w:rsidRPr="00483444" w:rsidRDefault="00483444" w:rsidP="004834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3444">
        <w:rPr>
          <w:rFonts w:ascii="Times New Roman" w:eastAsia="Times New Roman" w:hAnsi="Times New Roman" w:cs="Times New Roman"/>
          <w:b/>
          <w:bCs/>
          <w:kern w:val="0"/>
          <w:sz w:val="36"/>
          <w:szCs w:val="36"/>
          <w14:ligatures w14:val="none"/>
        </w:rPr>
        <w:t>Question 5: The IPO Gauntlet—From Private Blood to Public Money</w:t>
      </w:r>
    </w:p>
    <w:p w14:paraId="2A1EEA6C"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The Initial Public Offering process—where entrepreneurial profit meets accounting profit under klieg lights:</w:t>
      </w:r>
    </w:p>
    <w:p w14:paraId="7F140500"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t>1. Pre-Game Film Study (Months -18 to -12)</w:t>
      </w:r>
      <w:r w:rsidRPr="00483444">
        <w:rPr>
          <w:rFonts w:ascii="Times New Roman" w:eastAsia="Times New Roman" w:hAnsi="Times New Roman" w:cs="Times New Roman"/>
          <w:kern w:val="0"/>
          <w14:ligatures w14:val="none"/>
        </w:rPr>
        <w:br/>
        <w:t>Company realizes private capital has limits. Time to tap public markets. Hire investment bankers (Goldman, Morgan Stanley) who charge 7% to translate your street hustle into Wall Street Sanskrit. This is selecting your offensive coordinator—choose wrong, fumble everything. (Yochim, 2023).</w:t>
      </w:r>
    </w:p>
    <w:p w14:paraId="3E10D40D"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lastRenderedPageBreak/>
        <w:t>2. Due Diligence Combat (Months -12 to -6)</w:t>
      </w:r>
      <w:r w:rsidRPr="00483444">
        <w:rPr>
          <w:rFonts w:ascii="Times New Roman" w:eastAsia="Times New Roman" w:hAnsi="Times New Roman" w:cs="Times New Roman"/>
          <w:kern w:val="0"/>
          <w14:ligatures w14:val="none"/>
        </w:rPr>
        <w:br/>
        <w:t>Lawyers audit everything. Every contract, every lawsuit threatened by a disgruntled intern, every executive's divorce. They're calculating your Degree of Operating Leverage (DOL), Financial Leverage (DFL), and Combined Leverage (DCL) from Chapter 5. Building the S-1 registration: 300 pages of corporate autobiography where entrepreneurial profit gets stripped down to accounting profit. No hiding behind "potential." (Securities and Exchange Commission, 2024).</w:t>
      </w:r>
    </w:p>
    <w:p w14:paraId="26A3C4BA"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t>3. SEC Interrogation (Months -6 to -3)</w:t>
      </w:r>
      <w:r w:rsidRPr="00483444">
        <w:rPr>
          <w:rFonts w:ascii="Times New Roman" w:eastAsia="Times New Roman" w:hAnsi="Times New Roman" w:cs="Times New Roman"/>
          <w:kern w:val="0"/>
          <w14:ligatures w14:val="none"/>
        </w:rPr>
        <w:br/>
        <w:t>Securities and Exchange Commission plays bad cop. Multiple comment rounds. They're not protecting investors—they're protecting themselves from Congressional hearings when your stock craters. They want your break-even analysis, your working capital cycles, your EOQ calculations. Everything. Average: 81 days from first filing to effectiveness. (Latham &amp; Watkins, 2024).</w:t>
      </w:r>
    </w:p>
    <w:p w14:paraId="73BECA6A"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t>4. Roadshow Gladiator Circuit (Weeks -3 to -1)</w:t>
      </w:r>
      <w:r w:rsidRPr="00483444">
        <w:rPr>
          <w:rFonts w:ascii="Times New Roman" w:eastAsia="Times New Roman" w:hAnsi="Times New Roman" w:cs="Times New Roman"/>
          <w:kern w:val="0"/>
          <w14:ligatures w14:val="none"/>
        </w:rPr>
        <w:br/>
        <w:t>CEO and CFO hit 70 meetings in 10 days. Boston breakfast, NYC lunch, Chicago dinner, SF nightcap. Same pitch 8x daily to portfolio managers who've heard everything. You're not selling stock—you're selling belief. The Pattern Recognition Matrix™ reveals: they're not buying your numbers, they're buying your conviction at 2x speed. This is two-a-days in August. Cognitive Load Optimization™ becomes survival. (Renaissance Capital, 2025).</w:t>
      </w:r>
    </w:p>
    <w:p w14:paraId="79684335"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t>5. Pricing Night Poker (Night Before)</w:t>
      </w:r>
      <w:r w:rsidRPr="00483444">
        <w:rPr>
          <w:rFonts w:ascii="Times New Roman" w:eastAsia="Times New Roman" w:hAnsi="Times New Roman" w:cs="Times New Roman"/>
          <w:kern w:val="0"/>
          <w14:ligatures w14:val="none"/>
        </w:rPr>
        <w:br/>
        <w:t>Investment committee huddle. Based on order book demand, they price shares. The sweet spot: 15-20% first-day pop. Enough momentum to create FOMO, not enough to feel robbed. Go too high (Facebook at $38), stock drops Day 1. Too low (LinkedIn's 109% pop), you left millions on the table. This is calling plays at the line based on defensive formation. (Jay Ritter, University of Florida, 2025).</w:t>
      </w:r>
    </w:p>
    <w:p w14:paraId="2FE74E74"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t>6. Opening Bell Ceremony (Day 1)</w:t>
      </w:r>
      <w:r w:rsidRPr="00483444">
        <w:rPr>
          <w:rFonts w:ascii="Times New Roman" w:eastAsia="Times New Roman" w:hAnsi="Times New Roman" w:cs="Times New Roman"/>
          <w:kern w:val="0"/>
          <w14:ligatures w14:val="none"/>
        </w:rPr>
        <w:br/>
        <w:t>NYSE or NASDAQ. Ring the bell. Confetti falls. Stock starts trading. You're public. Now quarterly earnings are your report card, missing guidance by $0.01 triggers 20% drops, and 10,000 strangers own your dream. Chapter 11 bankruptcy protection becomes your new nightmare. Welcome to the show where efficient markets meet effectiveness metrics every 90 days. (NYSE, 2025).</w:t>
      </w:r>
    </w:p>
    <w:p w14:paraId="57B977E7"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b/>
          <w:bCs/>
          <w:kern w:val="0"/>
          <w14:ligatures w14:val="none"/>
        </w:rPr>
        <w:t>The Memphis Truth:</w:t>
      </w:r>
      <w:r w:rsidRPr="00483444">
        <w:rPr>
          <w:rFonts w:ascii="Times New Roman" w:eastAsia="Times New Roman" w:hAnsi="Times New Roman" w:cs="Times New Roman"/>
          <w:kern w:val="0"/>
          <w14:ligatures w14:val="none"/>
        </w:rPr>
        <w:t xml:space="preserve"> Most IPOs fail because companies confuse going public with getting rich. The best ones use public markets as rocket fuel for growth, not founder cash-outs. That's the difference between efficiency and effectiveness—between Groupon and Google.</w:t>
      </w:r>
    </w:p>
    <w:p w14:paraId="0139C8DD"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noProof/>
          <w:kern w:val="0"/>
          <w14:ligatures w14:val="none"/>
        </w:rPr>
      </w:r>
      <w:r w:rsidR="00483444" w:rsidRPr="00483444">
        <w:rPr>
          <w:rFonts w:ascii="Times New Roman" w:eastAsia="Times New Roman" w:hAnsi="Times New Roman" w:cs="Times New Roman"/>
          <w:noProof/>
          <w:kern w:val="0"/>
          <w14:ligatures w14:val="none"/>
        </w:rPr>
        <w:pict w14:anchorId="04B7272D">
          <v:rect id="_x0000_i1030" alt="" style="width:468pt;height:.05pt;mso-width-percent:0;mso-height-percent:0;mso-width-percent:0;mso-height-percent:0" o:hralign="center" o:hrstd="t" o:hr="t" fillcolor="#a0a0a0" stroked="f"/>
        </w:pict>
      </w:r>
    </w:p>
    <w:p w14:paraId="20DB8800" w14:textId="77777777" w:rsidR="00483444" w:rsidRPr="00483444" w:rsidRDefault="00483444" w:rsidP="004834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3444">
        <w:rPr>
          <w:rFonts w:ascii="Times New Roman" w:eastAsia="Times New Roman" w:hAnsi="Times New Roman" w:cs="Times New Roman"/>
          <w:b/>
          <w:bCs/>
          <w:kern w:val="0"/>
          <w:sz w:val="36"/>
          <w:szCs w:val="36"/>
          <w14:ligatures w14:val="none"/>
        </w:rPr>
        <w:t>The Sovereign Synthesis</w:t>
      </w:r>
    </w:p>
    <w:p w14:paraId="20FD26F1"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Break-even isn't breaking through—it's permission to start keeping score. Whether Rampage grinding through 22 shows, maximizing trade discounts at 42.1% APR, or surviving Month 4's ($16,000) cardiac arrest—these aren't textbook exercises. They're tomorrow's war stories.</w:t>
      </w:r>
    </w:p>
    <w:p w14:paraId="2ACBC0B5"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lastRenderedPageBreak/>
        <w:t>Every calculation runs through the same filter: What would Memphis do? Take the discount like FedEx takes overnight market share. Manage working capital like Elvis managed sequins—just enough to dazzle, not enough to drown. Go public like Graceland—when the private stage gets too small for the performance.</w:t>
      </w:r>
    </w:p>
    <w:p w14:paraId="65ACB715"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Chapter 5 taught efficiency versus effectiveness. Chapter 7 revealed cash cycles and float. But Blaze Intelligence™ synthesizes both: it's not about managing money—it's about weaponizing time. Because every financial decision has a reaction threshold. I've been measuring mine since first snap.</w:t>
      </w:r>
    </w:p>
    <w:p w14:paraId="2DF88239"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Finance isn't math. It's pattern recognition at velocity. And I've been running this play my whole life.</w:t>
      </w:r>
    </w:p>
    <w:p w14:paraId="31A8A1EB"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i/>
          <w:iCs/>
          <w:kern w:val="0"/>
          <w14:ligatures w14:val="none"/>
        </w:rPr>
        <w:t>From Beale Street to Wall Street, the game remains the same. Only the scoreboard changes.</w:t>
      </w:r>
    </w:p>
    <w:p w14:paraId="2D588CB7" w14:textId="77777777" w:rsidR="00483444" w:rsidRPr="00483444" w:rsidRDefault="00483444" w:rsidP="00483444">
      <w:pPr>
        <w:spacing w:after="0"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noProof/>
          <w:kern w:val="0"/>
          <w14:ligatures w14:val="none"/>
        </w:rPr>
      </w:r>
      <w:r w:rsidR="00483444" w:rsidRPr="00483444">
        <w:rPr>
          <w:rFonts w:ascii="Times New Roman" w:eastAsia="Times New Roman" w:hAnsi="Times New Roman" w:cs="Times New Roman"/>
          <w:noProof/>
          <w:kern w:val="0"/>
          <w14:ligatures w14:val="none"/>
        </w:rPr>
        <w:pict w14:anchorId="0166A7B1">
          <v:rect id="_x0000_i1031" alt="" style="width:468pt;height:.05pt;mso-width-percent:0;mso-height-percent:0;mso-width-percent:0;mso-height-percent:0" o:hralign="center" o:hrstd="t" o:hr="t" fillcolor="#a0a0a0" stroked="f"/>
        </w:pict>
      </w:r>
    </w:p>
    <w:p w14:paraId="391B01E0" w14:textId="77777777" w:rsidR="00483444" w:rsidRPr="00483444" w:rsidRDefault="00483444" w:rsidP="004834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3444">
        <w:rPr>
          <w:rFonts w:ascii="Times New Roman" w:eastAsia="Times New Roman" w:hAnsi="Times New Roman" w:cs="Times New Roman"/>
          <w:b/>
          <w:bCs/>
          <w:kern w:val="0"/>
          <w:sz w:val="36"/>
          <w:szCs w:val="36"/>
          <w14:ligatures w14:val="none"/>
        </w:rPr>
        <w:t>References</w:t>
      </w:r>
    </w:p>
    <w:p w14:paraId="5C23CD75"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 xml:space="preserve">Federal Reserve. (2025). </w:t>
      </w:r>
      <w:r w:rsidRPr="00483444">
        <w:rPr>
          <w:rFonts w:ascii="Times New Roman" w:eastAsia="Times New Roman" w:hAnsi="Times New Roman" w:cs="Times New Roman"/>
          <w:i/>
          <w:iCs/>
          <w:kern w:val="0"/>
          <w14:ligatures w14:val="none"/>
        </w:rPr>
        <w:t>Selected interest rates</w:t>
      </w:r>
      <w:r w:rsidRPr="00483444">
        <w:rPr>
          <w:rFonts w:ascii="Times New Roman" w:eastAsia="Times New Roman" w:hAnsi="Times New Roman" w:cs="Times New Roman"/>
          <w:kern w:val="0"/>
          <w14:ligatures w14:val="none"/>
        </w:rPr>
        <w:t>. Board of Governors of the Federal Reserve System. https://www.federalreserve.gov</w:t>
      </w:r>
    </w:p>
    <w:p w14:paraId="648DEE99"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 xml:space="preserve">Latham &amp; Watkins. (2024). </w:t>
      </w:r>
      <w:r w:rsidRPr="00483444">
        <w:rPr>
          <w:rFonts w:ascii="Times New Roman" w:eastAsia="Times New Roman" w:hAnsi="Times New Roman" w:cs="Times New Roman"/>
          <w:i/>
          <w:iCs/>
          <w:kern w:val="0"/>
          <w14:ligatures w14:val="none"/>
        </w:rPr>
        <w:t>US IPO guide</w:t>
      </w:r>
      <w:r w:rsidRPr="00483444">
        <w:rPr>
          <w:rFonts w:ascii="Times New Roman" w:eastAsia="Times New Roman" w:hAnsi="Times New Roman" w:cs="Times New Roman"/>
          <w:kern w:val="0"/>
          <w14:ligatures w14:val="none"/>
        </w:rPr>
        <w:t xml:space="preserve"> (6th ed.). https://www.lw.com/thoughtLeadership/us-ipo-guide</w:t>
      </w:r>
    </w:p>
    <w:p w14:paraId="34074F68"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 xml:space="preserve">NAREIT. (2025). </w:t>
      </w:r>
      <w:r w:rsidRPr="00483444">
        <w:rPr>
          <w:rFonts w:ascii="Times New Roman" w:eastAsia="Times New Roman" w:hAnsi="Times New Roman" w:cs="Times New Roman"/>
          <w:i/>
          <w:iCs/>
          <w:kern w:val="0"/>
          <w14:ligatures w14:val="none"/>
        </w:rPr>
        <w:t>REIT industry monthly data</w:t>
      </w:r>
      <w:r w:rsidRPr="00483444">
        <w:rPr>
          <w:rFonts w:ascii="Times New Roman" w:eastAsia="Times New Roman" w:hAnsi="Times New Roman" w:cs="Times New Roman"/>
          <w:kern w:val="0"/>
          <w14:ligatures w14:val="none"/>
        </w:rPr>
        <w:t>. National Association of Real Estate Investment Trusts. https://www.reit.com</w:t>
      </w:r>
    </w:p>
    <w:p w14:paraId="177E0ADF"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 xml:space="preserve">NYSE. (2025). </w:t>
      </w:r>
      <w:r w:rsidRPr="00483444">
        <w:rPr>
          <w:rFonts w:ascii="Times New Roman" w:eastAsia="Times New Roman" w:hAnsi="Times New Roman" w:cs="Times New Roman"/>
          <w:i/>
          <w:iCs/>
          <w:kern w:val="0"/>
          <w14:ligatures w14:val="none"/>
        </w:rPr>
        <w:t>Guide to listing on NYSE</w:t>
      </w:r>
      <w:r w:rsidRPr="00483444">
        <w:rPr>
          <w:rFonts w:ascii="Times New Roman" w:eastAsia="Times New Roman" w:hAnsi="Times New Roman" w:cs="Times New Roman"/>
          <w:kern w:val="0"/>
          <w14:ligatures w14:val="none"/>
        </w:rPr>
        <w:t>. New York Stock Exchange. https://www.nyse.com/listings</w:t>
      </w:r>
    </w:p>
    <w:p w14:paraId="5973C86E"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 xml:space="preserve">Renaissance Capital. (2025). </w:t>
      </w:r>
      <w:r w:rsidRPr="00483444">
        <w:rPr>
          <w:rFonts w:ascii="Times New Roman" w:eastAsia="Times New Roman" w:hAnsi="Times New Roman" w:cs="Times New Roman"/>
          <w:i/>
          <w:iCs/>
          <w:kern w:val="0"/>
          <w14:ligatures w14:val="none"/>
        </w:rPr>
        <w:t>IPO intelligence report Q1 2025</w:t>
      </w:r>
      <w:r w:rsidRPr="00483444">
        <w:rPr>
          <w:rFonts w:ascii="Times New Roman" w:eastAsia="Times New Roman" w:hAnsi="Times New Roman" w:cs="Times New Roman"/>
          <w:kern w:val="0"/>
          <w14:ligatures w14:val="none"/>
        </w:rPr>
        <w:t>. https://www.renaissancecapital.com</w:t>
      </w:r>
    </w:p>
    <w:p w14:paraId="49DCFF60"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Ritter, J. (2025). Initial public offerings: Updated statistics. University of Florida. https://site.warrington.ufl.edu/ritter/ipo-data/</w:t>
      </w:r>
    </w:p>
    <w:p w14:paraId="3E3DD06E"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 xml:space="preserve">Securities and Exchange Commission. (2024). </w:t>
      </w:r>
      <w:r w:rsidRPr="00483444">
        <w:rPr>
          <w:rFonts w:ascii="Times New Roman" w:eastAsia="Times New Roman" w:hAnsi="Times New Roman" w:cs="Times New Roman"/>
          <w:i/>
          <w:iCs/>
          <w:kern w:val="0"/>
          <w14:ligatures w14:val="none"/>
        </w:rPr>
        <w:t>Going public: A guide for North American companies</w:t>
      </w:r>
      <w:r w:rsidRPr="00483444">
        <w:rPr>
          <w:rFonts w:ascii="Times New Roman" w:eastAsia="Times New Roman" w:hAnsi="Times New Roman" w:cs="Times New Roman"/>
          <w:kern w:val="0"/>
          <w14:ligatures w14:val="none"/>
        </w:rPr>
        <w:t>. https://www.sec.gov</w:t>
      </w:r>
    </w:p>
    <w:p w14:paraId="6471DB88" w14:textId="77777777" w:rsidR="0048344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 xml:space="preserve">Vanguard Research. (2024). </w:t>
      </w:r>
      <w:r w:rsidRPr="00483444">
        <w:rPr>
          <w:rFonts w:ascii="Times New Roman" w:eastAsia="Times New Roman" w:hAnsi="Times New Roman" w:cs="Times New Roman"/>
          <w:i/>
          <w:iCs/>
          <w:kern w:val="0"/>
          <w14:ligatures w14:val="none"/>
        </w:rPr>
        <w:t>Principles for investing success</w:t>
      </w:r>
      <w:r w:rsidRPr="00483444">
        <w:rPr>
          <w:rFonts w:ascii="Times New Roman" w:eastAsia="Times New Roman" w:hAnsi="Times New Roman" w:cs="Times New Roman"/>
          <w:kern w:val="0"/>
          <w14:ligatures w14:val="none"/>
        </w:rPr>
        <w:t>. The Vanguard Group. https://investor.vanguard.com</w:t>
      </w:r>
    </w:p>
    <w:p w14:paraId="6F5550D3" w14:textId="59210637" w:rsidR="00244684" w:rsidRPr="00483444" w:rsidRDefault="00483444" w:rsidP="00483444">
      <w:pPr>
        <w:spacing w:before="100" w:beforeAutospacing="1" w:after="100" w:afterAutospacing="1" w:line="240" w:lineRule="auto"/>
        <w:rPr>
          <w:rFonts w:ascii="Times New Roman" w:eastAsia="Times New Roman" w:hAnsi="Times New Roman" w:cs="Times New Roman"/>
          <w:kern w:val="0"/>
          <w14:ligatures w14:val="none"/>
        </w:rPr>
      </w:pPr>
      <w:r w:rsidRPr="00483444">
        <w:rPr>
          <w:rFonts w:ascii="Times New Roman" w:eastAsia="Times New Roman" w:hAnsi="Times New Roman" w:cs="Times New Roman"/>
          <w:kern w:val="0"/>
          <w14:ligatures w14:val="none"/>
        </w:rPr>
        <w:t xml:space="preserve">Yochim, D. (2023). </w:t>
      </w:r>
      <w:r w:rsidRPr="00483444">
        <w:rPr>
          <w:rFonts w:ascii="Times New Roman" w:eastAsia="Times New Roman" w:hAnsi="Times New Roman" w:cs="Times New Roman"/>
          <w:i/>
          <w:iCs/>
          <w:kern w:val="0"/>
          <w14:ligatures w14:val="none"/>
        </w:rPr>
        <w:t>The IPO process explained</w:t>
      </w:r>
      <w:r w:rsidRPr="00483444">
        <w:rPr>
          <w:rFonts w:ascii="Times New Roman" w:eastAsia="Times New Roman" w:hAnsi="Times New Roman" w:cs="Times New Roman"/>
          <w:kern w:val="0"/>
          <w14:ligatures w14:val="none"/>
        </w:rPr>
        <w:t>. Charles Schwab &amp; Co. https://www.schwab.com</w:t>
      </w:r>
    </w:p>
    <w:sectPr w:rsidR="00244684" w:rsidRPr="00483444" w:rsidSect="00FC6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1D2577"/>
    <w:multiLevelType w:val="multilevel"/>
    <w:tmpl w:val="21A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9753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444"/>
    <w:rsid w:val="00086733"/>
    <w:rsid w:val="00244684"/>
    <w:rsid w:val="003E38D8"/>
    <w:rsid w:val="00483444"/>
    <w:rsid w:val="00662311"/>
    <w:rsid w:val="00A64FDF"/>
    <w:rsid w:val="00DD2213"/>
    <w:rsid w:val="00E36004"/>
    <w:rsid w:val="00E63963"/>
    <w:rsid w:val="00FC6CF4"/>
    <w:rsid w:val="00FF0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B9119"/>
  <w14:defaultImageDpi w14:val="32767"/>
  <w15:chartTrackingRefBased/>
  <w15:docId w15:val="{38DEBFDD-8028-054F-8A9B-874698FEF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3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3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3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3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444"/>
    <w:rPr>
      <w:rFonts w:eastAsiaTheme="majorEastAsia" w:cstheme="majorBidi"/>
      <w:color w:val="272727" w:themeColor="text1" w:themeTint="D8"/>
    </w:rPr>
  </w:style>
  <w:style w:type="paragraph" w:styleId="Title">
    <w:name w:val="Title"/>
    <w:basedOn w:val="Normal"/>
    <w:next w:val="Normal"/>
    <w:link w:val="TitleChar"/>
    <w:uiPriority w:val="10"/>
    <w:qFormat/>
    <w:rsid w:val="00483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444"/>
    <w:pPr>
      <w:spacing w:before="160"/>
      <w:jc w:val="center"/>
    </w:pPr>
    <w:rPr>
      <w:i/>
      <w:iCs/>
      <w:color w:val="404040" w:themeColor="text1" w:themeTint="BF"/>
    </w:rPr>
  </w:style>
  <w:style w:type="character" w:customStyle="1" w:styleId="QuoteChar">
    <w:name w:val="Quote Char"/>
    <w:basedOn w:val="DefaultParagraphFont"/>
    <w:link w:val="Quote"/>
    <w:uiPriority w:val="29"/>
    <w:rsid w:val="00483444"/>
    <w:rPr>
      <w:i/>
      <w:iCs/>
      <w:color w:val="404040" w:themeColor="text1" w:themeTint="BF"/>
    </w:rPr>
  </w:style>
  <w:style w:type="paragraph" w:styleId="ListParagraph">
    <w:name w:val="List Paragraph"/>
    <w:basedOn w:val="Normal"/>
    <w:uiPriority w:val="34"/>
    <w:qFormat/>
    <w:rsid w:val="00483444"/>
    <w:pPr>
      <w:ind w:left="720"/>
      <w:contextualSpacing/>
    </w:pPr>
  </w:style>
  <w:style w:type="character" w:styleId="IntenseEmphasis">
    <w:name w:val="Intense Emphasis"/>
    <w:basedOn w:val="DefaultParagraphFont"/>
    <w:uiPriority w:val="21"/>
    <w:qFormat/>
    <w:rsid w:val="00483444"/>
    <w:rPr>
      <w:i/>
      <w:iCs/>
      <w:color w:val="0F4761" w:themeColor="accent1" w:themeShade="BF"/>
    </w:rPr>
  </w:style>
  <w:style w:type="paragraph" w:styleId="IntenseQuote">
    <w:name w:val="Intense Quote"/>
    <w:basedOn w:val="Normal"/>
    <w:next w:val="Normal"/>
    <w:link w:val="IntenseQuoteChar"/>
    <w:uiPriority w:val="30"/>
    <w:qFormat/>
    <w:rsid w:val="00483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444"/>
    <w:rPr>
      <w:i/>
      <w:iCs/>
      <w:color w:val="0F4761" w:themeColor="accent1" w:themeShade="BF"/>
    </w:rPr>
  </w:style>
  <w:style w:type="character" w:styleId="IntenseReference">
    <w:name w:val="Intense Reference"/>
    <w:basedOn w:val="DefaultParagraphFont"/>
    <w:uiPriority w:val="32"/>
    <w:qFormat/>
    <w:rsid w:val="00483444"/>
    <w:rPr>
      <w:b/>
      <w:bCs/>
      <w:smallCaps/>
      <w:color w:val="0F4761" w:themeColor="accent1" w:themeShade="BF"/>
      <w:spacing w:val="5"/>
    </w:rPr>
  </w:style>
  <w:style w:type="paragraph" w:styleId="NormalWeb">
    <w:name w:val="Normal (Web)"/>
    <w:basedOn w:val="Normal"/>
    <w:uiPriority w:val="99"/>
    <w:semiHidden/>
    <w:unhideWhenUsed/>
    <w:rsid w:val="004834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83444"/>
    <w:rPr>
      <w:b/>
      <w:bCs/>
    </w:rPr>
  </w:style>
  <w:style w:type="character" w:styleId="Emphasis">
    <w:name w:val="Emphasis"/>
    <w:basedOn w:val="DefaultParagraphFont"/>
    <w:uiPriority w:val="20"/>
    <w:qFormat/>
    <w:rsid w:val="004834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954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1513</Words>
  <Characters>8629</Characters>
  <Application>Microsoft Office Word</Application>
  <DocSecurity>0</DocSecurity>
  <Lines>71</Lines>
  <Paragraphs>20</Paragraphs>
  <ScaleCrop>false</ScaleCrop>
  <Company/>
  <LinksUpToDate>false</LinksUpToDate>
  <CharactersWithSpaces>10122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Humphrey</dc:creator>
  <cp:keywords/>
  <dc:description/>
  <cp:lastModifiedBy>John Humphrey</cp:lastModifiedBy>
  <cp:revision>1</cp:revision>
  <dcterms:created xsi:type="dcterms:W3CDTF">2025-06-18T18:36:00Z</dcterms:created>
  <dcterms:modified xsi:type="dcterms:W3CDTF">2025-06-18T18:37:00Z</dcterms:modified>
</cp:coreProperties>
</file>