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ADD and Amphetamines: History, Globalization, &amp; the New Neoliberal Order</w:t>
      </w:r>
    </w:p>
    <w:p w:rsidR="00000000" w:rsidDel="00000000" w:rsidP="00000000" w:rsidRDefault="00000000" w:rsidRPr="00000000" w14:paraId="00000002">
      <w:pPr>
        <w:spacing w:line="480" w:lineRule="auto"/>
        <w:ind w:firstLine="720"/>
        <w:rPr/>
      </w:pPr>
      <w:r w:rsidDel="00000000" w:rsidR="00000000" w:rsidRPr="00000000">
        <w:rPr>
          <w:rtl w:val="0"/>
        </w:rPr>
        <w:t xml:space="preserve">Although mental health issues like Attention Deficit Disorder (ADD) and Attention Deficit Hyperactive Disorder (ADHD) have been known about for a fairly long period of time around the world (discovered in 1798 by a Scottish physician by the name of Sir Alexander Crichton), medication (such as amphetamines) used to treat these diseases are much newer and did not even begin getting prescribed till nearly 150 years later.</w:t>
      </w:r>
      <w:r w:rsidDel="00000000" w:rsidR="00000000" w:rsidRPr="00000000">
        <w:rPr>
          <w:vertAlign w:val="superscript"/>
        </w:rPr>
        <w:footnoteReference w:customMarkFollows="0" w:id="0"/>
      </w:r>
      <w:r w:rsidDel="00000000" w:rsidR="00000000" w:rsidRPr="00000000">
        <w:rPr>
          <w:rtl w:val="0"/>
        </w:rPr>
        <w:t xml:space="preserve">  Oddly enough, amphetamines were synthesized accidentally at the University of Berlin in 1887 by a chemist named Lazar Edeleanu in an attempt to create more effective asthma medication.  Not realizing the energy boosting and focus effects of the drug, he simply placed it to the side and continued his other research.  As a result, it did not resurface until decades later in 1927 when UCLA researcher Gordon Alles began tinkering with it while he also searched for another means of relieving people of asthma and nasal congestion.</w:t>
      </w:r>
      <w:r w:rsidDel="00000000" w:rsidR="00000000" w:rsidRPr="00000000">
        <w:rPr>
          <w:vertAlign w:val="superscript"/>
        </w:rPr>
        <w:footnoteReference w:customMarkFollows="0" w:id="1"/>
      </w:r>
      <w:r w:rsidDel="00000000" w:rsidR="00000000" w:rsidRPr="00000000">
        <w:rPr>
          <w:rtl w:val="0"/>
        </w:rPr>
        <w:t xml:space="preserve">  After this, the popularity of the drug began to take off in the Depression era and into the 1930s in the form of an over the counter inhaler called Benzedrine, hitting the American and French markets where people soon realized the “buzz” it gave them.  Interestingly enough, across the world, the Japanese had created methamphetamine, amphetamines’ stronger cousin, just a few years after Edeleanu’s discovery.  Despite this, and similar to the Western world, the widespread use of the drug in Japanese society did not begin until the outbreak of World War II, when militaries on both fronts used the alertness and energy to boost the capabilities of their soldiers.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3">
      <w:pPr>
        <w:spacing w:line="480" w:lineRule="auto"/>
        <w:ind w:firstLine="720"/>
        <w:rPr/>
      </w:pPr>
      <w:r w:rsidDel="00000000" w:rsidR="00000000" w:rsidRPr="00000000">
        <w:rPr>
          <w:rtl w:val="0"/>
        </w:rPr>
        <w:t xml:space="preserve">Before the rise of neoliberalism that followed WWII, a majority of the demand for powerful stimulants like methamphetamines was driven by the military of a given state.  Looking to gain an edge over their enemies on the battlefield and in the manufacturing sphere, the Americans, English, Germans and Japanese all domestically produced large quantities of different variants of the drug to be sold both over the counter and as a prescription.  In effect, not only were soldiers capable of improved performance but laborers had the ability to work longer hours, thus increasing the productive power and domestic output of the warring nations vitally needing the resources.  While the short-run results which arose out of this strategy paid numerous dividends economically and in terms of gaining influence in the global order, there were long-term downsides that would be felt for generations after.  Unfortunately, as the next few decades came, the main issue which arose was an addiction epidemic to methamphetamines that started in Japan and slowly made its rounds through much of the civilized world, even eventually the United States (although beginning later on because of controlled substance laws requiring a prescription).  In response, the United States tightly regulated not only the drug but the “precursor chemicals — ephedrine and pseudoephedrine” (University of Arizona, 2018).</w:t>
      </w:r>
      <w:r w:rsidDel="00000000" w:rsidR="00000000" w:rsidRPr="00000000">
        <w:rPr>
          <w:vertAlign w:val="superscript"/>
        </w:rPr>
        <w:footnoteReference w:customMarkFollows="0" w:id="3"/>
      </w:r>
      <w:r w:rsidDel="00000000" w:rsidR="00000000" w:rsidRPr="00000000">
        <w:rPr>
          <w:rtl w:val="0"/>
        </w:rPr>
        <w:t xml:space="preserve">  Similar fashion to how the British cornered the market of opium production and sale to China when the Chinese government outlawed domestic sources, many foreign companies thus jumped in to meet the American amphetamine demands, making new entry difficult for “home-grown” businesses, a consequence that persists to this day (Marks, p. 114-115).</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In conclusion, the increasingly globalized world emerging at the time of the onset of WWII facilitated the rapid spread of amphetamines and methamphetamines, as Earth’s most powerful countries vied for power in the global arena.  </w:t>
      </w:r>
      <w:r w:rsidDel="00000000" w:rsidR="00000000" w:rsidRPr="00000000">
        <w:rPr>
          <w:color w:val="ff0000"/>
          <w:rtl w:val="0"/>
        </w:rPr>
        <w:t xml:space="preserve">After the conflict that was WWII subsided</w:t>
      </w:r>
      <w:r w:rsidDel="00000000" w:rsidR="00000000" w:rsidRPr="00000000">
        <w:rPr>
          <w:rtl w:val="0"/>
        </w:rPr>
        <w:t xml:space="preserve">, the use of these stimulants became more widespread, as opposed to their distribution purely occurring in domestic markets.  </w:t>
      </w:r>
      <w:r w:rsidDel="00000000" w:rsidR="00000000" w:rsidRPr="00000000">
        <w:rPr>
          <w:color w:val="ff0000"/>
          <w:rtl w:val="0"/>
        </w:rPr>
        <w:t xml:space="preserve">This process became more pronounced with the further interconnectedness of the global market arising from free trade deals such as NAFTA and institutions that foster them like the WTO (considering its goal of lowering trade barriers that prevent the ease of international exchanges).  The two latter factors, consequently, created an economic incentive to increase production capacity to meet the demand for refined goods of recently decolonized states, a strategy many nations hope would lead their post-war economies out of the dump (especially war-ravaged Europe and Japan) through outsourcing and taking advantage of the much larger market of consumers (Ellwood, p. 29, 32-33).</w:t>
      </w:r>
      <w:r w:rsidDel="00000000" w:rsidR="00000000" w:rsidRPr="00000000">
        <w:rPr>
          <w:color w:val="ff0000"/>
          <w:vertAlign w:val="superscript"/>
        </w:rPr>
        <w:footnoteReference w:customMarkFollows="0" w:id="5"/>
      </w:r>
      <w:r w:rsidDel="00000000" w:rsidR="00000000" w:rsidRPr="00000000">
        <w:rPr>
          <w:color w:val="ff0000"/>
          <w:rtl w:val="0"/>
        </w:rPr>
        <w:t xml:space="preserve">  Therefore, despite drugs such as amphetamines and methamphetamines to treat disorders like ADD and ADHD being fairly new onto the scene, they managed to quickly gain a foothold, especially among developed, post-industrialist capitalist economies (even causing addiction epidemics at certain points in history).</w:t>
      </w:r>
      <w:r w:rsidDel="00000000" w:rsidR="00000000" w:rsidRPr="00000000">
        <w:rPr>
          <w:rtl w:val="0"/>
        </w:rPr>
        <w:t xml:space="preserve">  In the end, while newer and more effective medications accomplishing the same goal will inevitably be synthesized down the road, one thing is certain: in the highly competitive world of today where everyone is trying to gain the upper-hand, drugs such as Adderall are likely here to stay for a long time.</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08">
      <w:pPr>
        <w:spacing w:line="480" w:lineRule="auto"/>
        <w:rPr/>
      </w:pPr>
      <w:r w:rsidDel="00000000" w:rsidR="00000000" w:rsidRPr="00000000">
        <w:rPr>
          <w:rtl w:val="0"/>
        </w:rPr>
        <w:t xml:space="preserve">Lange, K. W., Reichl, S., Lange, K. M., Tucha, L., &amp; Tucha, O. (2010, December). The history </w:t>
        <w:tab/>
        <w:t xml:space="preserve">of attention deficit hyperactivity disorder. Retrieved October 7, 2018, from </w:t>
        <w:tab/>
      </w:r>
      <w:hyperlink r:id="rId7">
        <w:r w:rsidDel="00000000" w:rsidR="00000000" w:rsidRPr="00000000">
          <w:rPr>
            <w:color w:val="0563c1"/>
            <w:u w:val="single"/>
            <w:rtl w:val="0"/>
          </w:rPr>
          <w:t xml:space="preserve">https://www.ncbi.nlm.nih.gov/pmc/articles/PMC3000907/</w:t>
        </w:r>
      </w:hyperlink>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Methamphetamine Overview : Origin and History | Methoide. (n.d.). Retrieved October 7, </w:t>
        <w:tab/>
        <w:t xml:space="preserve">2018, from </w:t>
      </w:r>
      <w:hyperlink r:id="rId8">
        <w:r w:rsidDel="00000000" w:rsidR="00000000" w:rsidRPr="00000000">
          <w:rPr>
            <w:color w:val="0563c1"/>
            <w:u w:val="single"/>
            <w:rtl w:val="0"/>
          </w:rPr>
          <w:t xml:space="preserve">https://methoide.fcm.arizona.edu/infocenter/index.cfm?stid=164</w:t>
        </w:r>
      </w:hyperlink>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color w:val="ff0000"/>
        </w:rPr>
      </w:pPr>
      <w:r w:rsidDel="00000000" w:rsidR="00000000" w:rsidRPr="00000000">
        <w:rPr>
          <w:color w:val="ff0000"/>
          <w:rtl w:val="0"/>
        </w:rPr>
        <w:t xml:space="preserve">Marks, R. B., &amp; Marks, R. B. (2007). The Industrial Revolution and its Consequences, 1750-</w:t>
        <w:tab/>
        <w:t xml:space="preserve">1850. In </w:t>
      </w:r>
      <w:r w:rsidDel="00000000" w:rsidR="00000000" w:rsidRPr="00000000">
        <w:rPr>
          <w:i w:val="1"/>
          <w:iCs w:val="1"/>
          <w:color w:val="ff0000"/>
          <w:rtl w:val="0"/>
        </w:rPr>
        <w:t xml:space="preserve">The origins of the modern world: Fate and fortune in the rise of the West</w:t>
      </w:r>
      <w:r w:rsidDel="00000000" w:rsidR="00000000" w:rsidRPr="00000000">
        <w:rPr>
          <w:color w:val="ff0000"/>
          <w:rtl w:val="0"/>
        </w:rPr>
        <w:t xml:space="preserve">. </w:t>
        <w:tab/>
        <w:t xml:space="preserve">Retrieved November 12, 2018, from </w:t>
        <w:tab/>
        <w:t xml:space="preserve">file:///Users/AustinHumphrey/Downloads/Marks(industrial) (4).pdf</w:t>
      </w:r>
    </w:p>
    <w:p w:rsidR="00000000" w:rsidDel="00000000" w:rsidP="00000000" w:rsidRDefault="00000000" w:rsidRPr="00000000" w14:paraId="0000000D">
      <w:pPr>
        <w:spacing w:line="480" w:lineRule="auto"/>
        <w:rPr>
          <w:color w:val="ff0000"/>
        </w:rPr>
      </w:pPr>
      <w:r w:rsidDel="00000000" w:rsidR="00000000" w:rsidRPr="00000000">
        <w:rPr>
          <w:rtl w:val="0"/>
        </w:rPr>
      </w:r>
    </w:p>
    <w:p w:rsidR="00000000" w:rsidDel="00000000" w:rsidP="00000000" w:rsidRDefault="00000000" w:rsidRPr="00000000" w14:paraId="0000000E">
      <w:pPr>
        <w:spacing w:line="480" w:lineRule="auto"/>
        <w:rPr>
          <w:color w:val="ff0000"/>
        </w:rPr>
      </w:pPr>
      <w:bookmarkStart w:colFirst="0" w:colLast="0" w:name="_v94c00c76n4y" w:id="0"/>
      <w:bookmarkEnd w:id="0"/>
      <w:r w:rsidDel="00000000" w:rsidR="00000000" w:rsidRPr="00000000">
        <w:rPr>
          <w:color w:val="ff0000"/>
          <w:highlight w:val="white"/>
          <w:rtl w:val="0"/>
        </w:rPr>
        <w:t xml:space="preserve">Ellwood, W. (n.d.). Chapter 2/The Bretton Woods Trio. In </w:t>
      </w:r>
      <w:r w:rsidDel="00000000" w:rsidR="00000000" w:rsidRPr="00000000">
        <w:rPr>
          <w:i w:val="1"/>
          <w:iCs w:val="1"/>
          <w:color w:val="ff0000"/>
          <w:rtl w:val="0"/>
        </w:rPr>
        <w:t xml:space="preserve">The No-Nonsense Guide to </w:t>
        <w:tab/>
        <w:t xml:space="preserve">Globalization</w:t>
      </w:r>
      <w:r w:rsidDel="00000000" w:rsidR="00000000" w:rsidRPr="00000000">
        <w:rPr>
          <w:color w:val="ff0000"/>
          <w:highlight w:val="white"/>
          <w:rtl w:val="0"/>
        </w:rPr>
        <w:t xml:space="preserve">(New ed., pp. 29-33)</w:t>
      </w:r>
      <w:r w:rsidDel="00000000" w:rsidR="00000000" w:rsidRPr="00000000">
        <w:rPr>
          <w:rtl w:val="0"/>
        </w:rPr>
      </w:r>
    </w:p>
    <w:sectPr>
      <w:headerReference r:id="rId9" w:type="default"/>
      <w:head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Lange, K. W., Reichl, S., Lange, K. M., Tucha, L., &amp; Tucha, O. (2010, December). The history of attention deficit hyperactivity disorder. Retrieved October 7, 2018, from </w:t>
      </w:r>
      <w:hyperlink r:id="rId1">
        <w:r w:rsidDel="00000000" w:rsidR="00000000" w:rsidRPr="00000000">
          <w:rPr>
            <w:rFonts w:ascii="Times New Roman" w:cs="Times New Roman" w:eastAsia="Times New Roman" w:hAnsi="Times New Roman"/>
            <w:b w:val="0"/>
            <w:bCs w:val="0"/>
            <w:i w:val="0"/>
            <w:iCs w:val="0"/>
            <w:smallCaps w:val="0"/>
            <w:strike w:val="0"/>
            <w:color w:val="ff0000"/>
            <w:sz w:val="20"/>
            <w:szCs w:val="20"/>
            <w:u w:val="single"/>
            <w:shd w:fill="auto" w:val="clear"/>
            <w:vertAlign w:val="baseline"/>
            <w:rtl w:val="0"/>
          </w:rPr>
          <w:t xml:space="preserve">https://www.ncbi.nlm.nih.gov/pmc/articles/PMC3000907/</w:t>
        </w:r>
      </w:hyperlink>
      <w:r w:rsidDel="00000000" w:rsidR="00000000" w:rsidRPr="00000000">
        <w:rPr>
          <w:rFonts w:ascii="Times New Roman" w:cs="Times New Roman" w:eastAsia="Times New Roman" w:hAnsi="Times New Roman"/>
          <w:b w:val="0"/>
          <w:bCs w:val="0"/>
          <w:i w:val="0"/>
          <w:iCs w:val="0"/>
          <w:smallCaps w:val="0"/>
          <w:strike w:val="0"/>
          <w:color w:val="ff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Methamphetamine Overview : Origin and History | Methoide. (n.d.). Retrieved October 7, 2018, from https://methoide.fcm.arizona.edu/infocenter/index.cfm?stid=164.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Methamphetamine Overview : Origin and History | Methoide. (n.d.). Retrieved October 7, 2018, from https://methoide.fcm.arizona.edu/infocenter/index.cfm?stid=164.</w:t>
      </w:r>
      <w:r w:rsidDel="00000000" w:rsidR="00000000" w:rsidRPr="00000000">
        <w:rPr>
          <w:rtl w:val="0"/>
        </w:rPr>
      </w:r>
    </w:p>
  </w:footnote>
  <w:footnote w:id="3">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Methamphetamine Overview : Origin and History | Methoide. (n.d.). Retrieved October 7, 2018, from https://methoide.fcm.arizona.edu/infocenter/index.cfm?stid=164.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Marks, R. B., &amp; Marks, R. B. (2007). The Industrial Revolution and its Consequences, 1750-1850. In </w:t>
      </w:r>
      <w:r w:rsidDel="00000000" w:rsidR="00000000" w:rsidRPr="00000000">
        <w:rPr>
          <w:rFonts w:ascii="Times New Roman" w:cs="Times New Roman" w:eastAsia="Times New Roman" w:hAnsi="Times New Roman"/>
          <w:b w:val="0"/>
          <w:bCs w:val="0"/>
          <w:i w:val="1"/>
          <w:iCs w:val="1"/>
          <w:smallCaps w:val="0"/>
          <w:strike w:val="0"/>
          <w:color w:val="ff0000"/>
          <w:sz w:val="20"/>
          <w:szCs w:val="20"/>
          <w:u w:val="none"/>
          <w:shd w:fill="auto" w:val="clear"/>
          <w:vertAlign w:val="baseline"/>
          <w:rtl w:val="0"/>
        </w:rPr>
        <w:t xml:space="preserve">The origins of the modern world: Fate and fortune in the rise of the West</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Retrieved November 12, 2018, from file:///Users/AustinHumphrey/Downloads/Marks(industrial) (4).pdf.</w:t>
      </w:r>
    </w:p>
  </w:footnote>
  <w:footnote w:id="5">
    <w:p w:rsidR="00000000" w:rsidDel="00000000" w:rsidP="00000000" w:rsidRDefault="00000000" w:rsidRPr="00000000" w14:paraId="00000017">
      <w:pPr>
        <w:rPr>
          <w:color w:val="ff0000"/>
        </w:rPr>
      </w:pPr>
      <w:r w:rsidDel="00000000" w:rsidR="00000000" w:rsidRPr="00000000">
        <w:rPr>
          <w:rStyle w:val="FootnoteReference"/>
          <w:vertAlign w:val="superscript"/>
        </w:rPr>
        <w:footnoteRef/>
      </w:r>
      <w:r w:rsidDel="00000000" w:rsidR="00000000" w:rsidRPr="00000000">
        <w:rPr>
          <w:color w:val="ff0000"/>
          <w:rtl w:val="0"/>
        </w:rPr>
        <w:t xml:space="preserve"> </w:t>
      </w:r>
      <w:r w:rsidDel="00000000" w:rsidR="00000000" w:rsidRPr="00000000">
        <w:rPr>
          <w:color w:val="ff0000"/>
          <w:highlight w:val="white"/>
          <w:rtl w:val="0"/>
        </w:rPr>
        <w:t xml:space="preserve">Ellwood, W. (n.d.). Chapter 2/The Bretton Woods Trio. In </w:t>
      </w:r>
      <w:r w:rsidDel="00000000" w:rsidR="00000000" w:rsidRPr="00000000">
        <w:rPr>
          <w:i w:val="1"/>
          <w:iCs w:val="1"/>
          <w:color w:val="ff0000"/>
          <w:rtl w:val="0"/>
        </w:rPr>
        <w:t xml:space="preserve">The No-Nonsense Guide to Globalization</w:t>
      </w:r>
      <w:r w:rsidDel="00000000" w:rsidR="00000000" w:rsidRPr="00000000">
        <w:rPr>
          <w:color w:val="ff0000"/>
          <w:highlight w:val="white"/>
          <w:rtl w:val="0"/>
        </w:rPr>
        <w:t xml:space="preserve">(New ed., pp. 29-33).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GRG 350K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pmc/articles/PMC3000907/" TargetMode="External"/><Relationship Id="rId8" Type="http://schemas.openxmlformats.org/officeDocument/2006/relationships/hyperlink" Target="https://methoide.fcm.arizona.edu/infocenter/index.cfm?stid=16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cbi.nlm.nih.gov/pmc/articles/PMC3000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