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Final Essay #2</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tab/>
        <w:t xml:space="preserve">Since the end of the Cold War, the role of international organizations (IOs) and non-governmental organizations on the world stage has steadily, if not rapidly, increased, as the age of globalization has garnered the need for policy coordination and governance on a scale larger than ever before.  In many cases, this has meant increased involvement on the state level, as a majority of the issues faced by policymakers (i.e., directing the global economy, climate change, etc.) require active involvement by all countries if the desired change is to be achieved.  As a result, the issue of state sovereignty has been jolted to the forefront, as some find that their independence (and oftentimes culture) is being infringed upon.  Therefore, the future of civil society in international relations will be highly dependent on finding the perfect balance between large-scale global governance that allows for effective initiatives that push our world forward, and the preservation of unique cultures on the intimate level and the domestic sovereignty that is cherished so much by citizens and officials alike.</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The United Nations (UN) stands as the perfect example to how IOs and NGOs have evolved in the post-Cold War era, as its reach and validity as an institution has expanded significantly, giving states, regardless of size, a platform to voice opinions and propose policies on the dilemmas facing the world in a way they may be incapable of expressing otherwise.  In this regard, it has exerted a positive influence on relatively smaller nations, as other supranational institutions like the IMF or World are, in many cases, directed almost entirely by large, powerful Western countries who hog leadership spots and give little mind to the rest of the world’s two cents on matters.  Despite, some state sovereignty must be sacrificed for involvement in the UN due to the cooperation required by international initiatives for the greater good, especially relating to the subject of human rights.  For instance, the Universal Declaration of Human Rights (UDHR) permits the UN to get involved in domestic affairs if it feels basic human liberties are being violated by a country, even allowing military action to maintain peace through the injection of troops into hostile areas if called for (i.e., the Libya crisis).  While it’s far from common for Chapter VII to be invoked, it does show the scope of power in the international sphere that organizations have taken on, as just decades before its ratification involvement such as this would have never been tolerated.</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rPr>
      </w:pPr>
      <w:bookmarkStart w:colFirst="0" w:colLast="0" w:name="_s1tg63ddfcac" w:id="0"/>
      <w:bookmarkEnd w:id="0"/>
      <w:r w:rsidDel="00000000" w:rsidR="00000000" w:rsidRPr="00000000">
        <w:rPr>
          <w:rFonts w:ascii="Arial" w:cs="Arial" w:eastAsia="Arial" w:hAnsi="Arial"/>
          <w:color w:val="000000"/>
          <w:sz w:val="22"/>
          <w:szCs w:val="22"/>
          <w:rtl w:val="0"/>
        </w:rPr>
        <w:t xml:space="preserve">In conclusion, for better or worse, one thing is clear: international organizations are here to stay.  Adding to that, judging by recent trends they are, in all likelihood, due to flourish even further in influence and power on both the micro and macro scale as well as we progress through the remainder of the 21st century.  Simply put, the problems we face as a globalized planet in modern times are just far too daunting to be dealt with alone, meaning mass coordination and cooperation is vital even if it means the loss of some sovereignty on the state level.  Therefore, if we wish for the world we leave behind for our children to be better than the one we inhabit today, we must accept the reality of the role international organizations play in helping us achieve that end-goal, and realize that the sacrifice of some sovereignty can be best for everyone.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