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000000"/>
        </w:rPr>
      </w:pPr>
      <w:r w:rsidDel="00000000" w:rsidR="00000000" w:rsidRPr="00000000">
        <w:rPr>
          <w:rFonts w:ascii="Arial" w:cs="Arial" w:eastAsia="Arial" w:hAnsi="Arial"/>
          <w:color w:val="000000"/>
          <w:rtl w:val="0"/>
        </w:rPr>
        <w:t xml:space="preserve">Austin Humphrey </w:t>
      </w:r>
    </w:p>
    <w:p w:rsidR="00000000" w:rsidDel="00000000" w:rsidP="00000000" w:rsidRDefault="00000000" w:rsidRPr="00000000" w14:paraId="00000002">
      <w:pPr>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rPr>
          <w:rFonts w:ascii="Arial" w:cs="Arial" w:eastAsia="Arial" w:hAnsi="Arial"/>
          <w:color w:val="000000"/>
        </w:rPr>
      </w:pPr>
      <w:r w:rsidDel="00000000" w:rsidR="00000000" w:rsidRPr="00000000">
        <w:rPr>
          <w:rFonts w:ascii="Arial" w:cs="Arial" w:eastAsia="Arial" w:hAnsi="Arial"/>
          <w:b w:val="1"/>
          <w:bCs w:val="1"/>
          <w:color w:val="000000"/>
          <w:u w:val="single"/>
          <w:rtl w:val="0"/>
        </w:rPr>
        <w:t xml:space="preserve">Country</w:t>
      </w:r>
      <w:r w:rsidDel="00000000" w:rsidR="00000000" w:rsidRPr="00000000">
        <w:rPr>
          <w:rFonts w:ascii="Arial" w:cs="Arial" w:eastAsia="Arial" w:hAnsi="Arial"/>
          <w:color w:val="000000"/>
          <w:rtl w:val="0"/>
        </w:rPr>
        <w:t xml:space="preserve">: Germany</w:t>
      </w:r>
    </w:p>
    <w:p w:rsidR="00000000" w:rsidDel="00000000" w:rsidP="00000000" w:rsidRDefault="00000000" w:rsidRPr="00000000" w14:paraId="00000004">
      <w:pPr>
        <w:rPr>
          <w:rFonts w:ascii="Arial" w:cs="Arial" w:eastAsia="Arial" w:hAnsi="Arial"/>
          <w:color w:val="000000"/>
        </w:rPr>
      </w:pPr>
      <w:r w:rsidDel="00000000" w:rsidR="00000000" w:rsidRPr="00000000">
        <w:rPr>
          <w:rFonts w:ascii="Arial" w:cs="Arial" w:eastAsia="Arial" w:hAnsi="Arial"/>
          <w:b w:val="1"/>
          <w:bCs w:val="1"/>
          <w:color w:val="000000"/>
          <w:u w:val="single"/>
          <w:rtl w:val="0"/>
        </w:rPr>
        <w:t xml:space="preserve">COC</w:t>
      </w:r>
      <w:r w:rsidDel="00000000" w:rsidR="00000000" w:rsidRPr="00000000">
        <w:rPr>
          <w:rFonts w:ascii="Arial" w:cs="Arial" w:eastAsia="Arial" w:hAnsi="Arial"/>
          <w:color w:val="000000"/>
          <w:rtl w:val="0"/>
        </w:rPr>
        <w:t xml:space="preserve">: Nestle</w:t>
      </w:r>
    </w:p>
    <w:p w:rsidR="00000000" w:rsidDel="00000000" w:rsidP="00000000" w:rsidRDefault="00000000" w:rsidRPr="00000000" w14:paraId="00000005">
      <w:pPr>
        <w:rPr>
          <w:rFonts w:ascii="Arial" w:cs="Arial" w:eastAsia="Arial" w:hAnsi="Arial"/>
          <w:color w:val="000000"/>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Monetary History and Policy </w:t>
      </w:r>
    </w:p>
    <w:p w:rsidR="00000000" w:rsidDel="00000000" w:rsidP="00000000" w:rsidRDefault="00000000" w:rsidRPr="00000000" w14:paraId="00000007">
      <w:pPr>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is the name of the country’s currency?</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Considering its membership in the EU, the currency that Germany uses is the Euro.</w:t>
        <w:br w:type="textWrapping"/>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is the average level of daily forex transactions involving the country’s currency, if available? What is the approximate percentage of this in terms of total global daily forex transactions?</w:t>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April of 2016 the Bank for International Settlements reported the total number of daily forex transactions involving the Euro to be 1,591.  The same report claimed the approximate percentage of total global daily forex transactions for the Euro was 31.3 percent on a net-net basis.  Both the total number of transactions involving the Euro and the percentage of total global transactions recorded by this report show a depreciation in the currency over the past few years in relation to the dollar.  This is likely because of the issues Germany and other developed nations apart of the EU are facing in their efforts to prop up countries like Greece, Ireland, Portugal, Spain, and Cyprus that are lagging greatly behind the rest of the pack.</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Based on the most recent data you can find, what is the country’s exchange rate vis a vis the dollar? Please include the date of currency valuation.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br w:type="textWrapping"/>
        <w:t xml:space="preserve">As of November 15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exchange rate of the Euro vis a vis the dollar is 1 Euro = 1.184 USD.  This means that the Euro is currently the stronger currency comparatively, despite an upward trend by the dollar as of late and issues within the EU, such as Brexit and German attempts to prop up countries like Greece, that have caused the value of the Euro to depreciate.</w:t>
        <w:br w:type="textWrapping"/>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stable is the country’s currency? (i.e. what has been the level of volatility over the last two years?) (Look for Central Bank reports and on-line for PPP exchange rates every six months over the period.)</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Euro has been up-and-down over the past two years, as the Eurozone has suffered from a large debt crisis because of the lagging economies Greece, Ireland, Portugal, Spain, and Cyprus.  This has caused tension between its members, such as the issue with Brexit and German policymakers lowering wages and attempting to depreciate the value of the Euro in order to assist the formerly mentioned countries to develop further.  Greater power has been given to the European Central Bank so that it can better monitor the disastrous economies of countries like Greece, making sure investment in infrastructure and other crucial sectors for growth occurs.  While this has worked well in its short sample of use, the future of the Euro and a united Europe remains up in the air.  Despite the strength of the currency, looking at the exchange rate and PPP over the past two years comparatively to the USD, one can see a steady depreciate in the Euro.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Over the last 3 years, has the country’s currency value appreciated or depreciated relative to the dollar and by how much? (Please be sure to note your comparison dates – i.e., 2014 – 2016.)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value of the Euro has depreciated over the last 3 years, as since November 14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2014 the exchange rate relative to the USD has gone from 1 Euro = 1.2436 USD to 1 Euro = 1.184 USD as of November 15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2017.  This shows a 0.0596 drop in relative value over that span, which while at first was very rapid, but has begun to even out slightly as of March of 2015.  This is likely an effect of points mentioned in the latter paragraph, as, especially Germany, and other more developed nations within the EU have made attempts to depreciate the value of the currency to help the back of the pack catch up.</w:t>
      </w:r>
    </w:p>
    <w:p w:rsidR="00000000" w:rsidDel="00000000" w:rsidP="00000000" w:rsidRDefault="00000000" w:rsidRPr="00000000" w14:paraId="00000010">
      <w:pPr>
        <w:ind w:left="36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 the country a member of the IMF? If so, since what year?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br w:type="textWrapping"/>
        <w:t xml:space="preserve">Yes, Germany is a member of the IMF.  It has officially been a member since August 14, 1952.</w:t>
        <w:br w:type="textWrapping"/>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currency management “system” does the country use (i.e. fixed, floating, etc.)? If fixed to any degree, to which other currency?</w:t>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Due to being part of the EU, Germany uses a fixed exchange rate when dealing with other members inside the Eurozone that don’t use the Euro as its only form of legal currency.  As of today, 19 of the 28 member countries use Euro banknotes and coins as legal tender, facilitating easier exchange for those nations that are “all-in” so to speak.  Internationally, the Euro uses a floating exchange rate, though some describe it as “dirty” considering that the European Central Bank sometimes manipulates the currency so that it does not appreciate or depreciate at too rapid of a pace. </w:t>
        <w:br w:type="textWrapping"/>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Have there been any important changes in the country’s monetary system over the last 10 years?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br w:type="textWrapping"/>
        <w:t xml:space="preserve">The biggest change for Germany and the euro over the past 10 years has been the addition of 7 new members to the Eurozone since January 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2017 and the issue of the US financial crisis in 2008 which put major strains on Cyprus, Greece, Ireland, Italy, Portugal, and Spain.  With these countries’ economies in shambles, especially Greece, Germany was forced to step up to the plate as the leader and most influential nation inside of the EU.  Attempting to help those lagging behind by devaluing the euro internationally, Germany has imposed lower wage laws for its citizens despite being an export-driven economy.  While Germans have called upon other developed EU nations to help bear the burden, not all have responded positively to the requests, furthering the already-present tension.</w:t>
        <w:br w:type="textWrapping"/>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Has the country experienced any “crisis” in its economy over the last 10 years? When? If so, what were the causes (based on the crisis characteristics discussed in class)? How have conditions changed over the period since the crisis? Is the country’s currency still vulnerable?</w:t>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Germany has not directly experienced any crisis but, as mentioned previously, other EU member countries, especially Greece, was hit hard by the 2008 financial crisis.  As a leader within the union, conditions changed in Germany as they have implemented lower wage laws to devalue the euro for struggling countries.  As an export-driven economy, this is not ideal for German producers who, consequentially, earn less profit on goods traded with other countries.  In addition, the possible Brexit of the UK has created further uncertainty for Germany and the euro.  If the breakoff of the UK does occur, volatility is likely to follow as the future of the euro and EU would be entirely up in the air.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Given your assessment of the country’s currency value, stability, and monetary history, what would be any important “issues” of this for your COC? How would the currency history impact the most important COC activities in the country and between the COC branch and other countries of operation or headquarters? </w:t>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Nestle, the recent uncertainty associated with the euro and the recent policy changes to help struggling Eurozone countries that have, in effect, hurt German exporters would be the most important issues.  This would mean that Nestle would likely want to scale back on production within its German branches.  Considering its non-membership in the EU as a Swiss-based company, production by from its headquarters and other branches inside Switzerland will be affected very little by Brexit and the possible breakup of the Eurozone.  While trading with other European countries may not go as smoothly as when they were almost all under a centralized currency with fixed-exchange rates between them.  Despite these concerns, the current strength of the euro relative to other currencies bodes well for Nestle branches within the Eurozone, facilitating greater earnings on exports and a sense of (at least in the short-run) stability.</w:t>
        <w:br w:type="textWrapping"/>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 there any other aspect of the country’s monetary status, history, or system not noted above? </w:t>
      </w:r>
      <w:r w:rsidDel="00000000" w:rsidR="00000000" w:rsidRPr="00000000">
        <w:rPr>
          <w:rtl w:val="0"/>
        </w:rPr>
      </w:r>
    </w:p>
    <w:p w:rsidR="00000000" w:rsidDel="00000000" w:rsidP="00000000" w:rsidRDefault="00000000" w:rsidRPr="00000000" w14:paraId="00000017">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8">
      <w:pPr>
        <w:ind w:left="720" w:firstLine="0"/>
        <w:rPr>
          <w:rFonts w:ascii="Arial" w:cs="Arial" w:eastAsia="Arial" w:hAnsi="Arial"/>
          <w:color w:val="000000"/>
        </w:rPr>
      </w:pPr>
      <w:bookmarkStart w:colFirst="0" w:colLast="0" w:name="_o2dgfyacobii" w:id="0"/>
      <w:bookmarkEnd w:id="0"/>
      <w:r w:rsidDel="00000000" w:rsidR="00000000" w:rsidRPr="00000000">
        <w:rPr>
          <w:rFonts w:ascii="Arial" w:cs="Arial" w:eastAsia="Arial" w:hAnsi="Arial"/>
          <w:color w:val="000000"/>
          <w:rtl w:val="0"/>
        </w:rPr>
        <w:t xml:space="preserve">Overall, Germany’s monetary status has improved steadily following the devastation suffered during WWII.  The country continues to lead the EU as the strongest and most stable individual economy within it despite propping up other countries like Greece.  While uncertainty for the euro lies in the future, German history shows that the nation will come out the other end in decent shape.</w:t>
      </w:r>
      <w:r w:rsidDel="00000000" w:rsidR="00000000" w:rsidRPr="00000000">
        <w:br w:type="page"/>
      </w:r>
      <w:r w:rsidDel="00000000" w:rsidR="00000000" w:rsidRPr="00000000">
        <w:rPr>
          <w:rtl w:val="0"/>
        </w:rPr>
      </w:r>
    </w:p>
    <w:p w:rsidR="00000000" w:rsidDel="00000000" w:rsidP="00000000" w:rsidRDefault="00000000" w:rsidRPr="00000000" w14:paraId="00000019">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References</w:t>
      </w:r>
    </w:p>
    <w:p w:rsidR="00000000" w:rsidDel="00000000" w:rsidP="00000000" w:rsidRDefault="00000000" w:rsidRPr="00000000" w14:paraId="0000001A">
      <w:pPr>
        <w:spacing w:line="480" w:lineRule="auto"/>
        <w:rPr>
          <w:rFonts w:ascii="Arial" w:cs="Arial" w:eastAsia="Arial" w:hAnsi="Arial"/>
        </w:rPr>
      </w:pPr>
      <w:r w:rsidDel="00000000" w:rsidR="00000000" w:rsidRPr="00000000">
        <w:rPr>
          <w:rFonts w:ascii="Arial" w:cs="Arial" w:eastAsia="Arial" w:hAnsi="Arial"/>
          <w:rtl w:val="0"/>
        </w:rPr>
        <w:t xml:space="preserve">“List of Members.” List of Members' Date of Entry, International Monetary Fund, 7 Mar. </w:t>
        <w:tab/>
        <w:t xml:space="preserve">2017, </w:t>
      </w:r>
      <w:hyperlink r:id="rId6">
        <w:r w:rsidDel="00000000" w:rsidR="00000000" w:rsidRPr="00000000">
          <w:rPr>
            <w:rFonts w:ascii="Arial" w:cs="Arial" w:eastAsia="Arial" w:hAnsi="Arial"/>
            <w:color w:val="0563c1"/>
            <w:u w:val="single"/>
            <w:rtl w:val="0"/>
          </w:rPr>
          <w:t xml:space="preserve">www.imf.org/external/np/sec/memdir/memdate.htm</w:t>
        </w:r>
      </w:hyperlink>
      <w:r w:rsidDel="00000000" w:rsidR="00000000" w:rsidRPr="00000000">
        <w:rPr>
          <w:rFonts w:ascii="Arial" w:cs="Arial" w:eastAsia="Arial" w:hAnsi="Arial"/>
          <w:rtl w:val="0"/>
        </w:rPr>
        <w:t xml:space="preserve">.</w:t>
      </w:r>
    </w:p>
    <w:p w:rsidR="00000000" w:rsidDel="00000000" w:rsidP="00000000" w:rsidRDefault="00000000" w:rsidRPr="00000000" w14:paraId="0000001B">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line="480" w:lineRule="auto"/>
        <w:rPr>
          <w:rFonts w:ascii="Arial" w:cs="Arial" w:eastAsia="Arial" w:hAnsi="Arial"/>
        </w:rPr>
      </w:pPr>
      <w:r w:rsidDel="00000000" w:rsidR="00000000" w:rsidRPr="00000000">
        <w:rPr>
          <w:rFonts w:ascii="Arial" w:cs="Arial" w:eastAsia="Arial" w:hAnsi="Arial"/>
          <w:rtl w:val="0"/>
        </w:rPr>
        <w:t xml:space="preserve">“Triennial Central Bank Survey Foreign exchange turnover in April 2016.” Bis.org, Bank </w:t>
        <w:tab/>
        <w:t xml:space="preserve">for International Settlements, Sept. 2016, </w:t>
      </w:r>
      <w:hyperlink r:id="rId7">
        <w:r w:rsidDel="00000000" w:rsidR="00000000" w:rsidRPr="00000000">
          <w:rPr>
            <w:rFonts w:ascii="Arial" w:cs="Arial" w:eastAsia="Arial" w:hAnsi="Arial"/>
            <w:color w:val="0563c1"/>
            <w:u w:val="single"/>
            <w:rtl w:val="0"/>
          </w:rPr>
          <w:t xml:space="preserve">www.bis.org/publ/rpfx16fx.pdf</w:t>
        </w:r>
      </w:hyperlink>
      <w:r w:rsidDel="00000000" w:rsidR="00000000" w:rsidRPr="00000000">
        <w:rPr>
          <w:rFonts w:ascii="Arial" w:cs="Arial" w:eastAsia="Arial" w:hAnsi="Arial"/>
          <w:rtl w:val="0"/>
        </w:rPr>
        <w:t xml:space="preserve">.</w:t>
      </w:r>
    </w:p>
    <w:p w:rsidR="00000000" w:rsidDel="00000000" w:rsidP="00000000" w:rsidRDefault="00000000" w:rsidRPr="00000000" w14:paraId="0000001D">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line="480" w:lineRule="auto"/>
        <w:rPr>
          <w:rFonts w:ascii="Arial" w:cs="Arial" w:eastAsia="Arial" w:hAnsi="Arial"/>
        </w:rPr>
      </w:pPr>
      <w:r w:rsidDel="00000000" w:rsidR="00000000" w:rsidRPr="00000000">
        <w:rPr>
          <w:rFonts w:ascii="Arial" w:cs="Arial" w:eastAsia="Arial" w:hAnsi="Arial"/>
          <w:rtl w:val="0"/>
        </w:rPr>
        <w:t xml:space="preserve">United States, Congress, European Central Bank. “Www.ecb.europa.eu / ECB euro </w:t>
        <w:tab/>
        <w:t xml:space="preserve">reference exchange rate: US dollar (USD).” Www.ecb.europa.eu / ECB euro </w:t>
        <w:tab/>
        <w:t xml:space="preserve">reference exchange rate: US dollar (USD), European Central Bank, 15 Nov. </w:t>
        <w:tab/>
        <w:t xml:space="preserve">2017. </w:t>
        <w:tab/>
      </w:r>
      <w:hyperlink r:id="rId8">
        <w:r w:rsidDel="00000000" w:rsidR="00000000" w:rsidRPr="00000000">
          <w:rPr>
            <w:rFonts w:ascii="Arial" w:cs="Arial" w:eastAsia="Arial" w:hAnsi="Arial"/>
            <w:color w:val="0563c1"/>
            <w:u w:val="single"/>
            <w:rtl w:val="0"/>
          </w:rPr>
          <w:t xml:space="preserve">www.ecb.europa.eu/stats/policy_and_exchange_rates/euro_reference_exchange</w:t>
        </w:r>
      </w:hyperlink>
      <w:r w:rsidDel="00000000" w:rsidR="00000000" w:rsidRPr="00000000">
        <w:rPr>
          <w:rFonts w:ascii="Arial" w:cs="Arial" w:eastAsia="Arial" w:hAnsi="Arial"/>
          <w:rtl w:val="0"/>
        </w:rPr>
        <w:tab/>
        <w:t xml:space="preserve">_rates/html/eurofxref-graph-usd.en.html.</w:t>
      </w:r>
    </w:p>
    <w:p w:rsidR="00000000" w:rsidDel="00000000" w:rsidP="00000000" w:rsidRDefault="00000000" w:rsidRPr="00000000" w14:paraId="0000001F">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20">
      <w:pPr>
        <w:spacing w:line="480" w:lineRule="auto"/>
        <w:rPr>
          <w:rFonts w:ascii="Arial" w:cs="Arial" w:eastAsia="Arial" w:hAnsi="Arial"/>
        </w:rPr>
      </w:pPr>
      <w:r w:rsidDel="00000000" w:rsidR="00000000" w:rsidRPr="00000000">
        <w:rPr>
          <w:rFonts w:ascii="Arial" w:cs="Arial" w:eastAsia="Arial" w:hAnsi="Arial"/>
          <w:rtl w:val="0"/>
        </w:rPr>
        <w:t xml:space="preserve">“Use of the euro.” Www.ecb.europa.eu, European Central Bank, 2017, </w:t>
        <w:tab/>
      </w:r>
      <w:hyperlink r:id="rId9">
        <w:r w:rsidDel="00000000" w:rsidR="00000000" w:rsidRPr="00000000">
          <w:rPr>
            <w:rFonts w:ascii="Arial" w:cs="Arial" w:eastAsia="Arial" w:hAnsi="Arial"/>
            <w:color w:val="0563c1"/>
            <w:u w:val="single"/>
            <w:rtl w:val="0"/>
          </w:rPr>
          <w:t xml:space="preserve">www.ecb.europa.eu/euro/intro/html/index.en.html</w:t>
        </w:r>
      </w:hyperlink>
      <w:r w:rsidDel="00000000" w:rsidR="00000000" w:rsidRPr="00000000">
        <w:rPr>
          <w:rFonts w:ascii="Arial" w:cs="Arial" w:eastAsia="Arial" w:hAnsi="Arial"/>
          <w:rtl w:val="0"/>
        </w:rPr>
        <w:t xml:space="preserve">.</w:t>
      </w:r>
    </w:p>
    <w:p w:rsidR="00000000" w:rsidDel="00000000" w:rsidP="00000000" w:rsidRDefault="00000000" w:rsidRPr="00000000" w14:paraId="00000021">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22">
      <w:pPr>
        <w:spacing w:line="480" w:lineRule="auto"/>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76"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ecb.europa.eu/euro/intro/html/index.en.html" TargetMode="External"/><Relationship Id="rId5" Type="http://schemas.openxmlformats.org/officeDocument/2006/relationships/styles" Target="styles.xml"/><Relationship Id="rId6" Type="http://schemas.openxmlformats.org/officeDocument/2006/relationships/hyperlink" Target="http://www.imf.org/external/np/sec/memdir/memdate.htm" TargetMode="External"/><Relationship Id="rId7" Type="http://schemas.openxmlformats.org/officeDocument/2006/relationships/hyperlink" Target="http://www.bis.org/publ/rpfx16fx.pdf" TargetMode="External"/><Relationship Id="rId8" Type="http://schemas.openxmlformats.org/officeDocument/2006/relationships/hyperlink" Target="http://www.ecb.europa.eu/stats/policy_and_exchange_rates/euro_reference_excha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