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EcoNiche-Opt: a locked immune-ecology transcriptomic score for multicohort prediction of immune checkpoint blockade response</w:t>
      </w:r>
    </w:p>
    <w:p>
      <w:pPr>
        <w:spacing w:line="480" w:lineRule="auto" w:after="0"/>
      </w:pPr>
      <w:r>
        <w:rPr>
          <w:rFonts w:ascii="Times New Roman" w:hAnsi="Times New Roman" w:eastAsia="Times New Roman"/>
          <w:b w:val="0"/>
        </w:rPr>
        <w:t>Pengyuan Xu1,3, Guang Yang2,3, Moyan Li3*</w:t>
      </w:r>
    </w:p>
    <w:p>
      <w:pPr>
        <w:spacing w:line="480" w:lineRule="auto" w:after="0"/>
      </w:pPr>
      <w:r>
        <w:rPr>
          <w:rFonts w:ascii="Times New Roman" w:hAnsi="Times New Roman" w:eastAsia="Times New Roman"/>
          <w:b w:val="0"/>
        </w:rPr>
        <w:t>1 Department of Materials Science and Engineering, Monash University, Clayton, VIC 3800, Australia.</w:t>
      </w:r>
    </w:p>
    <w:p>
      <w:pPr>
        <w:spacing w:line="480" w:lineRule="auto" w:after="0"/>
      </w:pPr>
      <w:r>
        <w:rPr>
          <w:rFonts w:ascii="Times New Roman" w:hAnsi="Times New Roman" w:eastAsia="Times New Roman"/>
          <w:b w:val="0"/>
        </w:rPr>
        <w:t>2 School of Economics and Management, China University of Mining and Technology, Xuzhou 221116, Jiangsu, China.</w:t>
      </w:r>
    </w:p>
    <w:p>
      <w:pPr>
        <w:spacing w:line="480" w:lineRule="auto" w:after="0"/>
      </w:pPr>
      <w:r>
        <w:rPr>
          <w:rFonts w:ascii="Times New Roman" w:hAnsi="Times New Roman" w:eastAsia="Times New Roman"/>
          <w:b w:val="0"/>
        </w:rPr>
        <w:t>3 Hong Kong University of Science and Technology (Guangzhou), Guangzhou 510000, China.</w:t>
      </w:r>
    </w:p>
    <w:p>
      <w:pPr>
        <w:spacing w:line="480" w:lineRule="auto" w:after="0"/>
      </w:pPr>
      <w:r>
        <w:rPr>
          <w:rFonts w:ascii="Times New Roman" w:hAnsi="Times New Roman" w:eastAsia="Times New Roman"/>
          <w:b w:val="0"/>
        </w:rPr>
        <w:t>* Correspondence: moyanli@hkust-gz.edu.cn</w:t>
      </w:r>
    </w:p>
    <w:p>
      <w:pPr>
        <w:pStyle w:val="Heading1"/>
        <w:spacing w:line="240" w:lineRule="auto" w:before="240" w:after="120"/>
      </w:pPr>
      <w:r>
        <w:rPr>
          <w:rFonts w:ascii="Times New Roman" w:hAnsi="Times New Roman" w:eastAsia="Times New Roman"/>
          <w:b/>
        </w:rPr>
        <w:t>Abstract</w:t>
      </w:r>
    </w:p>
    <w:p>
      <w:pPr>
        <w:spacing w:line="480" w:lineRule="auto" w:after="0"/>
      </w:pPr>
      <w:r>
        <w:rPr>
          <w:rFonts w:ascii="Times New Roman" w:hAnsi="Times New Roman" w:eastAsia="Times New Roman"/>
          <w:b/>
        </w:rPr>
        <w:t>Background</w:t>
      </w:r>
      <w:r>
        <w:rPr>
          <w:rFonts w:ascii="Times New Roman" w:hAnsi="Times New Roman" w:eastAsia="Times New Roman"/>
          <w:b w:val="0"/>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480" w:lineRule="auto" w:after="0"/>
      </w:pPr>
      <w:r>
        <w:rPr>
          <w:rFonts w:ascii="Times New Roman" w:hAnsi="Times New Roman" w:eastAsia="Times New Roman"/>
          <w:b/>
        </w:rPr>
        <w:t>Methods</w:t>
      </w:r>
      <w:r>
        <w:rPr>
          <w:rFonts w:ascii="Times New Roman" w:hAnsi="Times New Roman" w:eastAsia="Times New Roman"/>
          <w:b w:val="0"/>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480" w:lineRule="auto" w:after="0"/>
      </w:pPr>
      <w:r>
        <w:rPr>
          <w:rFonts w:ascii="Times New Roman" w:hAnsi="Times New Roman" w:eastAsia="Times New Roman"/>
          <w:b/>
        </w:rPr>
        <w:t>Results</w:t>
      </w:r>
      <w:r>
        <w:rPr>
          <w:rFonts w:ascii="Times New Roman" w:hAnsi="Times New Roman" w:eastAsia="Times New Roman"/>
          <w:b w:val="0"/>
        </w:rPr>
        <w:t xml:space="preserve"> Here we show that EcoNiche-Opt reached area under the receiver operating characteristic curve (AUROC) 0.705 (95% CI 0.607-0.796) in the high-evidence primary melanoma stratum and AUROC 0.685 (95% CI 0.591-0.780) in the Response Evaluation Criteria in Solid Tumours (RECIST)-supported stratum, with family-level false-discovery-rate support over a predeclared eight-signature comparator family (two-sided q=0.002). A frozen GPU-audited lipid/PI3K pair rescue selected by primary melanoma LODO with a balanced-accuracy guardrail reached primary AUROC 0.772, balanced accuracy 0.686, strict melanoma external AUROC 0.720, and cBioPortal Liu/DFCI AUROC 0.701, with FDR-supported improvement over the eight-signature family in the cBioPortal cross-check (two-sided q=0.000). Single-cell localization and ecological-edge analyses linked the score to antigen presentation, T/NK effector activity, T-cell dysfunction, myeloid suppression, and stromal exclusion.</w:t>
      </w:r>
    </w:p>
    <w:p>
      <w:pPr>
        <w:spacing w:line="480" w:lineRule="auto" w:after="0"/>
      </w:pPr>
      <w:r>
        <w:rPr>
          <w:rFonts w:ascii="Times New Roman" w:hAnsi="Times New Roman" w:eastAsia="Times New Roman"/>
          <w:b/>
        </w:rPr>
        <w:t>Conclusions</w:t>
      </w:r>
      <w:r>
        <w:rPr>
          <w:rFonts w:ascii="Times New Roman" w:hAnsi="Times New Roman" w:eastAsia="Times New Roman"/>
          <w:b w:val="0"/>
        </w:rPr>
        <w:t xml:space="preserve"> EcoNiche-Opt provides an auditable, locked, and independently computable 62-gene immune-ecology scoring framework for multicohort biomarker development, validation, and panel-compatible external scoring.</w:t>
      </w:r>
    </w:p>
    <w:p>
      <w:pPr>
        <w:pStyle w:val="Heading1"/>
        <w:spacing w:line="240" w:lineRule="auto" w:before="240" w:after="120"/>
      </w:pPr>
      <w:r>
        <w:rPr>
          <w:rFonts w:ascii="Times New Roman" w:hAnsi="Times New Roman" w:eastAsia="Times New Roman"/>
          <w:b/>
        </w:rPr>
        <w:t>Keywords</w:t>
      </w:r>
    </w:p>
    <w:p>
      <w:pPr>
        <w:spacing w:line="480" w:lineRule="auto" w:after="0"/>
      </w:pPr>
      <w:r>
        <w:rPr>
          <w:rFonts w:ascii="Times New Roman" w:hAnsi="Times New Roman" w:eastAsia="Times New Roman"/>
          <w:b w:val="0"/>
        </w:rPr>
        <w:t>immune checkpoint blockade; transcriptomic biomarker; melanoma; tumour immune microenvironment; machine learning; external validation; immune ecology; precision oncology</w:t>
      </w:r>
    </w:p>
    <w:p>
      <w:pPr>
        <w:pStyle w:val="Heading1"/>
        <w:spacing w:line="240" w:lineRule="auto" w:before="240" w:after="120"/>
      </w:pPr>
      <w:r>
        <w:rPr>
          <w:rFonts w:ascii="Times New Roman" w:hAnsi="Times New Roman" w:eastAsia="Times New Roman"/>
          <w:b/>
        </w:rPr>
        <w:t>Background</w:t>
      </w:r>
    </w:p>
    <w:p>
      <w:pPr>
        <w:spacing w:line="480" w:lineRule="auto" w:after="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480" w:lineRule="auto" w:after="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480" w:lineRule="auto" w:after="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480" w:lineRule="auto" w:after="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line="240" w:lineRule="auto" w:before="160" w:after="80"/>
      </w:pPr>
      <w:r>
        <w:rPr>
          <w:rFonts w:ascii="Times New Roman" w:hAnsi="Times New Roman" w:eastAsia="Times New Roman"/>
          <w:b/>
        </w:rPr>
        <w:t>Methodological contributions of EcoNiche-Opt</w:t>
      </w:r>
    </w:p>
    <w:p>
      <w:pPr>
        <w:pStyle w:val="ListBullet"/>
        <w:spacing w:line="480" w:lineRule="auto"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line="480" w:lineRule="auto" w:after="60"/>
      </w:pPr>
      <w:r>
        <w:rPr>
          <w:rFonts w:ascii="Times New Roman" w:hAnsi="Times New Roman" w:eastAsia="Times New Roman"/>
          <w:b w:val="0"/>
        </w:rPr>
        <w:t>Immune-ecology representation: signed-rank module scores for response-high and resistance-high tumour-immune states.</w:t>
      </w:r>
    </w:p>
    <w:p>
      <w:pPr>
        <w:pStyle w:val="ListBullet"/>
        <w:spacing w:line="480" w:lineRule="auto"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line="480" w:lineRule="auto"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line="480" w:lineRule="auto"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line="480" w:lineRule="auto"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line="240" w:lineRule="auto" w:before="240" w:after="120"/>
      </w:pPr>
      <w:r>
        <w:rPr>
          <w:rFonts w:ascii="Times New Roman" w:hAnsi="Times New Roman" w:eastAsia="Times New Roman"/>
          <w:b/>
        </w:rPr>
        <w:t>Methods</w:t>
      </w:r>
    </w:p>
    <w:p>
      <w:pPr>
        <w:pStyle w:val="Heading2"/>
        <w:spacing w:line="240" w:lineRule="auto" w:before="160" w:after="80"/>
      </w:pPr>
      <w:r>
        <w:rPr>
          <w:rFonts w:ascii="Times New Roman" w:hAnsi="Times New Roman" w:eastAsia="Times New Roman"/>
          <w:b/>
        </w:rPr>
        <w:t>Data registration and access-status audit</w:t>
      </w:r>
    </w:p>
    <w:p>
      <w:pPr>
        <w:spacing w:line="480" w:lineRule="auto" w:after="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line="240" w:lineRule="auto" w:before="160" w:after="80"/>
      </w:pPr>
      <w:r>
        <w:rPr>
          <w:rFonts w:ascii="Times New Roman" w:hAnsi="Times New Roman" w:eastAsia="Times New Roman"/>
          <w:b/>
        </w:rPr>
        <w:t>Expression-matrix processing and gene coverage</w:t>
      </w:r>
    </w:p>
    <w:p>
      <w:pPr>
        <w:spacing w:line="480" w:lineRule="auto" w:after="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line="240" w:lineRule="auto" w:before="160" w:after="80"/>
      </w:pPr>
      <w:r>
        <w:rPr>
          <w:rFonts w:ascii="Times New Roman" w:hAnsi="Times New Roman" w:eastAsia="Times New Roman"/>
          <w:b/>
        </w:rPr>
        <w:t>Response-label curation and endpoint harmonization</w:t>
      </w:r>
    </w:p>
    <w:p>
      <w:pPr>
        <w:spacing w:line="480" w:lineRule="auto" w:after="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line="240" w:lineRule="auto" w:before="160" w:after="80"/>
      </w:pPr>
      <w:r>
        <w:rPr>
          <w:rFonts w:ascii="Times New Roman" w:hAnsi="Times New Roman" w:eastAsia="Times New Roman"/>
          <w:b/>
        </w:rPr>
        <w:t>EcoNiche-Opt module scores</w:t>
      </w:r>
    </w:p>
    <w:p>
      <w:pPr>
        <w:spacing w:line="480" w:lineRule="auto" w:after="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spacing w:line="240" w:lineRule="auto" w:before="60" w:after="120"/>
        <w:jc w:val="center"/>
      </w:pPr>
      <w:r>
        <w:drawing>
          <wp:inline xmlns:a="http://schemas.openxmlformats.org/drawingml/2006/main" xmlns:pic="http://schemas.openxmlformats.org/drawingml/2006/picture">
            <wp:extent cx="4937760" cy="455015"/>
            <wp:docPr id="1" name="Picture 1"/>
            <wp:cNvGraphicFramePr>
              <a:graphicFrameLocks noChangeAspect="1"/>
            </wp:cNvGraphicFramePr>
            <a:graphic>
              <a:graphicData uri="http://schemas.openxmlformats.org/drawingml/2006/picture">
                <pic:pic>
                  <pic:nvPicPr>
                    <pic:cNvPr id="0" name="equation_01.png"/>
                    <pic:cNvPicPr/>
                  </pic:nvPicPr>
                  <pic:blipFill>
                    <a:blip r:embed="rId1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spacing w:line="240" w:lineRule="auto" w:before="60" w:after="120"/>
        <w:jc w:val="center"/>
      </w:pPr>
      <w:r>
        <w:drawing>
          <wp:inline xmlns:a="http://schemas.openxmlformats.org/drawingml/2006/main" xmlns:pic="http://schemas.openxmlformats.org/drawingml/2006/picture">
            <wp:extent cx="4937760" cy="455015"/>
            <wp:docPr id="2" name="Picture 2"/>
            <wp:cNvGraphicFramePr>
              <a:graphicFrameLocks noChangeAspect="1"/>
            </wp:cNvGraphicFramePr>
            <a:graphic>
              <a:graphicData uri="http://schemas.openxmlformats.org/drawingml/2006/picture">
                <pic:pic>
                  <pic:nvPicPr>
                    <pic:cNvPr id="0" name="equation_02.png"/>
                    <pic:cNvPicPr/>
                  </pic:nvPicPr>
                  <pic:blipFill>
                    <a:blip r:embed="rId1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If the correlation is not estimable, direction defaults to +1. For ecological state q with gene set G_q, the signed state score of sample i is:</w:t>
      </w:r>
    </w:p>
    <w:p>
      <w:pPr>
        <w:spacing w:line="240" w:lineRule="auto" w:before="60" w:after="120"/>
        <w:jc w:val="center"/>
      </w:pPr>
      <w:r>
        <w:drawing>
          <wp:inline xmlns:a="http://schemas.openxmlformats.org/drawingml/2006/main" xmlns:pic="http://schemas.openxmlformats.org/drawingml/2006/picture">
            <wp:extent cx="4937760" cy="455015"/>
            <wp:docPr id="3" name="Picture 3"/>
            <wp:cNvGraphicFramePr>
              <a:graphicFrameLocks noChangeAspect="1"/>
            </wp:cNvGraphicFramePr>
            <a:graphic>
              <a:graphicData uri="http://schemas.openxmlformats.org/drawingml/2006/picture">
                <pic:pic>
                  <pic:nvPicPr>
                    <pic:cNvPr id="0" name="equation_03.png"/>
                    <pic:cNvPicPr/>
                  </pic:nvPicPr>
                  <pic:blipFill>
                    <a:blip r:embed="rId12"/>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480" w:lineRule="auto" w:after="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spacing w:line="240" w:lineRule="auto" w:before="60" w:after="120"/>
        <w:jc w:val="center"/>
      </w:pPr>
      <w:r>
        <w:drawing>
          <wp:inline xmlns:a="http://schemas.openxmlformats.org/drawingml/2006/main" xmlns:pic="http://schemas.openxmlformats.org/drawingml/2006/picture">
            <wp:extent cx="4937760" cy="455015"/>
            <wp:docPr id="4" name="Picture 4"/>
            <wp:cNvGraphicFramePr>
              <a:graphicFrameLocks noChangeAspect="1"/>
            </wp:cNvGraphicFramePr>
            <a:graphic>
              <a:graphicData uri="http://schemas.openxmlformats.org/drawingml/2006/picture">
                <pic:pic>
                  <pic:nvPicPr>
                    <pic:cNvPr id="0" name="equation_04.png"/>
                    <pic:cNvPicPr/>
                  </pic:nvPicPr>
                  <pic:blipFill>
                    <a:blip r:embed="rId13"/>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spacing w:line="240" w:lineRule="auto" w:before="60" w:after="120"/>
        <w:jc w:val="center"/>
      </w:pPr>
      <w:r>
        <w:drawing>
          <wp:inline xmlns:a="http://schemas.openxmlformats.org/drawingml/2006/main" xmlns:pic="http://schemas.openxmlformats.org/drawingml/2006/picture">
            <wp:extent cx="4937760" cy="455015"/>
            <wp:docPr id="5" name="Picture 5"/>
            <wp:cNvGraphicFramePr>
              <a:graphicFrameLocks noChangeAspect="1"/>
            </wp:cNvGraphicFramePr>
            <a:graphic>
              <a:graphicData uri="http://schemas.openxmlformats.org/drawingml/2006/picture">
                <pic:pic>
                  <pic:nvPicPr>
                    <pic:cNvPr id="0" name="equation_05.png"/>
                    <pic:cNvPicPr/>
                  </pic:nvPicPr>
                  <pic:blipFill>
                    <a:blip r:embed="rId14"/>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line="240" w:lineRule="auto" w:before="160" w:after="80"/>
      </w:pPr>
      <w:r>
        <w:rPr>
          <w:rFonts w:ascii="Times New Roman" w:hAnsi="Times New Roman" w:eastAsia="Times New Roman"/>
          <w:b/>
        </w:rPr>
        <w:t>Heuristic ecological optimizer</w:t>
      </w:r>
    </w:p>
    <w:p>
      <w:pPr>
        <w:spacing w:line="480" w:lineRule="auto" w:after="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480" w:lineRule="auto" w:after="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spacing w:line="240" w:lineRule="auto" w:before="60" w:after="120"/>
        <w:jc w:val="center"/>
      </w:pPr>
      <w:r>
        <w:drawing>
          <wp:inline xmlns:a="http://schemas.openxmlformats.org/drawingml/2006/main" xmlns:pic="http://schemas.openxmlformats.org/drawingml/2006/picture">
            <wp:extent cx="4937760" cy="926883"/>
            <wp:docPr id="6" name="Picture 6"/>
            <wp:cNvGraphicFramePr>
              <a:graphicFrameLocks noChangeAspect="1"/>
            </wp:cNvGraphicFramePr>
            <a:graphic>
              <a:graphicData uri="http://schemas.openxmlformats.org/drawingml/2006/picture">
                <pic:pic>
                  <pic:nvPicPr>
                    <pic:cNvPr id="0" name="equation_06.png"/>
                    <pic:cNvPicPr/>
                  </pic:nvPicPr>
                  <pic:blipFill>
                    <a:blip r:embed="rId15"/>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where rho=0.45 and BA denotes balanced accuracy. The biological reward term is:</w:t>
      </w:r>
    </w:p>
    <w:p>
      <w:pPr>
        <w:spacing w:line="240" w:lineRule="auto" w:before="60" w:after="120"/>
        <w:jc w:val="center"/>
      </w:pPr>
      <w:r>
        <w:drawing>
          <wp:inline xmlns:a="http://schemas.openxmlformats.org/drawingml/2006/main" xmlns:pic="http://schemas.openxmlformats.org/drawingml/2006/picture">
            <wp:extent cx="4937760" cy="926883"/>
            <wp:docPr id="7" name="Picture 7"/>
            <wp:cNvGraphicFramePr>
              <a:graphicFrameLocks noChangeAspect="1"/>
            </wp:cNvGraphicFramePr>
            <a:graphic>
              <a:graphicData uri="http://schemas.openxmlformats.org/drawingml/2006/picture">
                <pic:pic>
                  <pic:nvPicPr>
                    <pic:cNvPr id="0" name="equation_07.png"/>
                    <pic:cNvPicPr/>
                  </pic:nvPicPr>
                  <pic:blipFill>
                    <a:blip r:embed="rId16"/>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spacing w:line="240" w:lineRule="auto" w:before="60" w:after="120"/>
        <w:jc w:val="center"/>
      </w:pPr>
      <w:r>
        <w:drawing>
          <wp:inline xmlns:a="http://schemas.openxmlformats.org/drawingml/2006/main" xmlns:pic="http://schemas.openxmlformats.org/drawingml/2006/picture">
            <wp:extent cx="4937760" cy="690949"/>
            <wp:docPr id="8" name="Picture 8"/>
            <wp:cNvGraphicFramePr>
              <a:graphicFrameLocks noChangeAspect="1"/>
            </wp:cNvGraphicFramePr>
            <a:graphic>
              <a:graphicData uri="http://schemas.openxmlformats.org/drawingml/2006/picture">
                <pic:pic>
                  <pic:nvPicPr>
                    <pic:cNvPr id="0" name="equation_08.png"/>
                    <pic:cNvPicPr/>
                  </pic:nvPicPr>
                  <pic:blipFill>
                    <a:blip r:embed="rId17"/>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which limits gene-set size, cohort/batch dependence, state redundancy, and therapy confounding. The selected model is:</w:t>
      </w:r>
    </w:p>
    <w:p>
      <w:pPr>
        <w:spacing w:line="240" w:lineRule="auto" w:before="60" w:after="120"/>
        <w:jc w:val="center"/>
      </w:pPr>
      <w:r>
        <w:drawing>
          <wp:inline xmlns:a="http://schemas.openxmlformats.org/drawingml/2006/main" xmlns:pic="http://schemas.openxmlformats.org/drawingml/2006/picture">
            <wp:extent cx="4937760" cy="455015"/>
            <wp:docPr id="9" name="Picture 9"/>
            <wp:cNvGraphicFramePr>
              <a:graphicFrameLocks noChangeAspect="1"/>
            </wp:cNvGraphicFramePr>
            <a:graphic>
              <a:graphicData uri="http://schemas.openxmlformats.org/drawingml/2006/picture">
                <pic:pic>
                  <pic:nvPicPr>
                    <pic:cNvPr id="0" name="equation_09.png"/>
                    <pic:cNvPicPr/>
                  </pic:nvPicPr>
                  <pic:blipFill>
                    <a:blip r:embed="rId18"/>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line="240" w:lineRule="auto" w:before="160" w:after="80"/>
      </w:pPr>
      <w:r>
        <w:rPr>
          <w:rFonts w:ascii="Times New Roman" w:hAnsi="Times New Roman" w:eastAsia="Times New Roman"/>
          <w:b/>
        </w:rPr>
        <w:t>Baseline signatures</w:t>
      </w:r>
    </w:p>
    <w:p>
      <w:pPr>
        <w:spacing w:line="480" w:lineRule="auto" w:after="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line="240" w:lineRule="auto" w:before="160" w:after="80"/>
      </w:pPr>
      <w:r>
        <w:rPr>
          <w:rFonts w:ascii="Times New Roman" w:hAnsi="Times New Roman" w:eastAsia="Times New Roman"/>
          <w:b/>
        </w:rPr>
        <w:t>LODO benchmark and statistical testing</w:t>
      </w:r>
    </w:p>
    <w:p>
      <w:pPr>
        <w:spacing w:line="480" w:lineRule="auto" w:after="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spacing w:line="240" w:lineRule="auto" w:before="60" w:after="120"/>
        <w:jc w:val="center"/>
      </w:pPr>
      <w:r>
        <w:drawing>
          <wp:inline xmlns:a="http://schemas.openxmlformats.org/drawingml/2006/main" xmlns:pic="http://schemas.openxmlformats.org/drawingml/2006/picture">
            <wp:extent cx="4937760" cy="690949"/>
            <wp:docPr id="10" name="Picture 10"/>
            <wp:cNvGraphicFramePr>
              <a:graphicFrameLocks noChangeAspect="1"/>
            </wp:cNvGraphicFramePr>
            <a:graphic>
              <a:graphicData uri="http://schemas.openxmlformats.org/drawingml/2006/picture">
                <pic:pic>
                  <pic:nvPicPr>
                    <pic:cNvPr id="0" name="equation_10.png"/>
                    <pic:cNvPicPr/>
                  </pic:nvPicPr>
                  <pic:blipFill>
                    <a:blip r:embed="rId19"/>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spacing w:line="240" w:lineRule="auto" w:before="60" w:after="120"/>
        <w:jc w:val="center"/>
      </w:pPr>
      <w:r>
        <w:drawing>
          <wp:inline xmlns:a="http://schemas.openxmlformats.org/drawingml/2006/main" xmlns:pic="http://schemas.openxmlformats.org/drawingml/2006/picture">
            <wp:extent cx="4937760" cy="455015"/>
            <wp:docPr id="11" name="Picture 11"/>
            <wp:cNvGraphicFramePr>
              <a:graphicFrameLocks noChangeAspect="1"/>
            </wp:cNvGraphicFramePr>
            <a:graphic>
              <a:graphicData uri="http://schemas.openxmlformats.org/drawingml/2006/picture">
                <pic:pic>
                  <pic:nvPicPr>
                    <pic:cNvPr id="0" name="equation_11.png"/>
                    <pic:cNvPicPr/>
                  </pic:nvPicPr>
                  <pic:blipFill>
                    <a:blip r:embed="rId2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For stratum s, the family-level effect was:</w:t>
      </w:r>
    </w:p>
    <w:p>
      <w:pPr>
        <w:spacing w:line="240" w:lineRule="auto" w:before="60" w:after="120"/>
        <w:jc w:val="center"/>
      </w:pPr>
      <w:r>
        <w:drawing>
          <wp:inline xmlns:a="http://schemas.openxmlformats.org/drawingml/2006/main" xmlns:pic="http://schemas.openxmlformats.org/drawingml/2006/picture">
            <wp:extent cx="4937760" cy="455015"/>
            <wp:docPr id="12" name="Picture 12"/>
            <wp:cNvGraphicFramePr>
              <a:graphicFrameLocks noChangeAspect="1"/>
            </wp:cNvGraphicFramePr>
            <a:graphic>
              <a:graphicData uri="http://schemas.openxmlformats.org/drawingml/2006/picture">
                <pic:pic>
                  <pic:nvPicPr>
                    <pic:cNvPr id="0" name="equation_12.png"/>
                    <pic:cNvPicPr/>
                  </pic:nvPicPr>
                  <pic:blipFill>
                    <a:blip r:embed="rId2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line="240" w:lineRule="auto" w:before="160" w:after="80"/>
      </w:pPr>
      <w:r>
        <w:rPr>
          <w:rFonts w:ascii="Times New Roman" w:hAnsi="Times New Roman" w:eastAsia="Times New Roman"/>
          <w:b/>
        </w:rPr>
        <w:t>Locked external and panel-transfer validation</w:t>
      </w:r>
    </w:p>
    <w:p>
      <w:pPr>
        <w:spacing w:line="480" w:lineRule="auto" w:after="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line="240" w:lineRule="auto" w:before="160" w:after="80"/>
      </w:pPr>
      <w:r>
        <w:rPr>
          <w:rFonts w:ascii="Times New Roman" w:hAnsi="Times New Roman" w:eastAsia="Times New Roman"/>
          <w:b/>
        </w:rPr>
        <w:t>GPU biological-prior and lipid/PI3K pair rescue</w:t>
      </w:r>
    </w:p>
    <w:p>
      <w:pPr>
        <w:spacing w:line="480" w:lineRule="auto" w:after="0"/>
      </w:pPr>
      <w:r>
        <w:rPr>
          <w:rFonts w:ascii="Times New Roman" w:hAnsi="Times New Roman" w:eastAsia="Times New Roman"/>
          <w:b w:val="0"/>
        </w:rPr>
        <w:t>The strict PD1-like melanoma external layer was treated as a predefined stress setting after the locked 62-gene panel was scored. To improve this layer without external-label leakage, we evaluated biological-prior candidate families restricted to the MAP4K1 minus TBX3/AXL tumour-immune balance axis and lipid/PI3K genes. Candidate and weight selection used primary melanoma LODO only. The first frozen score was 0.80 x base + 0.20 x robust-z PLA2G2D, where base is 0.95 x robust-z MAP4K1-minus-TBX3/AXL plus 0.05 x z-score MAP4K1-minus-TBX3/AXL, min-max scaled within each scored cohort. The final lipid/PI3K pair rescue required component-dominant weighting and a primary balanced-accuracy guardrail before selecting 0.35 x base + 0.65 x (0.35 x percentile PLA2G2D + 0.65 x robust-z PIK3CD). The locked threshold was selected in the primary melanoma training layer and then applied to GSE145996, PHS000452_LIU_LIKE_PRE, and cBioPortal Liu/DFCI without refitting. Component ablation compared rescue scores with the base MAP4K1/TBX3/AXL axis using paired bootstrap intervals. GPU and cBioPortal rescue outputs are reported in Figure 5e-f and Supplementary Tables 21-24.</w:t>
      </w:r>
    </w:p>
    <w:p>
      <w:pPr>
        <w:pStyle w:val="Heading2"/>
        <w:spacing w:line="240" w:lineRule="auto" w:before="160" w:after="80"/>
      </w:pPr>
      <w:r>
        <w:rPr>
          <w:rFonts w:ascii="Times New Roman" w:hAnsi="Times New Roman" w:eastAsia="Times New Roman"/>
          <w:b/>
        </w:rPr>
        <w:t>Single-cell and mechanistic interpretation</w:t>
      </w:r>
    </w:p>
    <w:p>
      <w:pPr>
        <w:spacing w:line="480" w:lineRule="auto" w:after="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line="240" w:lineRule="auto" w:before="160" w:after="80"/>
      </w:pPr>
      <w:r>
        <w:rPr>
          <w:rFonts w:ascii="Times New Roman" w:hAnsi="Times New Roman" w:eastAsia="Times New Roman"/>
          <w:b/>
        </w:rPr>
        <w:t>Perturbation hypothesis prioritization</w:t>
      </w:r>
    </w:p>
    <w:p>
      <w:pPr>
        <w:spacing w:line="480" w:lineRule="auto" w:after="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line="240" w:lineRule="auto" w:before="160" w:after="80"/>
      </w:pPr>
      <w:r>
        <w:rPr>
          <w:rFonts w:ascii="Times New Roman" w:hAnsi="Times New Roman" w:eastAsia="Times New Roman"/>
          <w:b/>
        </w:rPr>
        <w:t>Locked external scoring analysis</w:t>
      </w:r>
    </w:p>
    <w:p>
      <w:pPr>
        <w:spacing w:line="480" w:lineRule="auto" w:after="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line="240" w:lineRule="auto" w:before="160" w:after="80"/>
      </w:pPr>
      <w:r>
        <w:rPr>
          <w:rFonts w:ascii="Times New Roman" w:hAnsi="Times New Roman" w:eastAsia="Times New Roman"/>
          <w:b/>
        </w:rPr>
        <w:t>Open algorithm and reproducibility boundary</w:t>
      </w:r>
    </w:p>
    <w:p>
      <w:pPr>
        <w:spacing w:line="480" w:lineRule="auto" w:after="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480" w:lineRule="auto" w:after="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line="240" w:lineRule="auto" w:before="240" w:after="120"/>
      </w:pPr>
      <w:r>
        <w:rPr>
          <w:rFonts w:ascii="Times New Roman" w:hAnsi="Times New Roman" w:eastAsia="Times New Roman"/>
          <w:b/>
        </w:rPr>
        <w:t>Results</w:t>
      </w:r>
    </w:p>
    <w:p>
      <w:pPr>
        <w:pStyle w:val="Heading2"/>
        <w:spacing w:line="240" w:lineRule="auto" w:before="160" w:after="80"/>
      </w:pPr>
      <w:r>
        <w:rPr>
          <w:rFonts w:ascii="Times New Roman" w:hAnsi="Times New Roman" w:eastAsia="Times New Roman"/>
          <w:b/>
        </w:rPr>
        <w:t>Auditable cohort curation defines the valid search space for ICB response modelling</w:t>
      </w:r>
    </w:p>
    <w:p>
      <w:pPr>
        <w:spacing w:line="480" w:lineRule="auto" w:after="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480" w:lineRule="auto" w:after="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480" w:lineRule="auto" w:after="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line="240" w:lineRule="auto" w:before="160" w:after="80"/>
      </w:pPr>
      <w:r>
        <w:rPr>
          <w:rFonts w:ascii="Times New Roman" w:hAnsi="Times New Roman" w:eastAsia="Times New Roman"/>
          <w:b/>
        </w:rPr>
        <w:t>EcoNiche-Opt models ICB response through coupled immune-ecological states</w:t>
      </w:r>
    </w:p>
    <w:p>
      <w:pPr>
        <w:spacing w:line="480" w:lineRule="auto" w:after="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480" w:lineRule="auto" w:after="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480" w:lineRule="auto" w:after="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480" w:lineRule="auto" w:after="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line="240" w:lineRule="auto" w:before="160" w:after="80"/>
      </w:pPr>
      <w:r>
        <w:rPr>
          <w:rFonts w:ascii="Times New Roman" w:hAnsi="Times New Roman" w:eastAsia="Times New Roman"/>
          <w:b/>
        </w:rPr>
        <w:t>Coupled immune-ecology scoring improves over predeclared immune signatures in melanoma</w:t>
      </w:r>
    </w:p>
    <w:p>
      <w:pPr>
        <w:spacing w:line="480" w:lineRule="auto" w:after="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480" w:lineRule="auto" w:after="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(95% CI 0.607472-0.795575) versus a family mean AUROC of 0.631796, with mean delta 0.073416, delta 95% CI 0.031503-0.112106, and two-sided FDR q=0.002. In the RECIST-supported primary melanoma stratum, EcoNiche-Opt achieved AUROC 0.684559 (95% CI 0.591168-0.779896) versus a family mean AUROC of 0.619700, with mean delta 0.064490, delta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480" w:lineRule="auto" w:after="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480" w:lineRule="auto" w:after="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line="240" w:lineRule="auto" w:before="160" w:after="80"/>
      </w:pPr>
      <w:r>
        <w:rPr>
          <w:rFonts w:ascii="Times New Roman" w:hAnsi="Times New Roman" w:eastAsia="Times New Roman"/>
          <w:b/>
        </w:rPr>
        <w:t>Endpoint sensitivity and claim gating strengthen biomarker evidence</w:t>
      </w:r>
    </w:p>
    <w:p>
      <w:pPr>
        <w:spacing w:line="480" w:lineRule="auto" w:after="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480" w:lineRule="auto" w:after="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480" w:lineRule="auto" w:after="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480" w:lineRule="auto" w:after="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line="240" w:lineRule="auto" w:before="160" w:after="80"/>
      </w:pPr>
      <w:r>
        <w:rPr>
          <w:rFonts w:ascii="Times New Roman" w:hAnsi="Times New Roman" w:eastAsia="Times New Roman"/>
          <w:b/>
        </w:rPr>
        <w:t>Locked external and panel-transfer analyses test portability without refitting</w:t>
      </w:r>
    </w:p>
    <w:p>
      <w:pPr>
        <w:spacing w:line="480" w:lineRule="auto" w:after="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480" w:lineRule="auto" w:after="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(95% CI 0.537128-0.684688) versus a signature-family mean of 0.569882, with mean delta 0.039789, delta 95% CI 0.007657-0.071903, and two-sided FDR q=0.039. In clinical benefit all locked external/panel analysis, EcoNiche-Opt AUROC was 0.604353 (95% CI 0.536238-0.673429) versus a family mean of 0.566113, with mean delta 0.038240, delta 95% CI 0.005664-0.067548, and two-sided FDR q=0.039. Primary RECIST all external/panel analysis showed pre-directional support, with target AUROC 0.576664 (95% CI 0.508519-0.649046), family mean 0.548750, two-sided FDR q=0.070, and one-sided FDR q=0.035. These findings provide family-level external/panel evidence, with individual-model deltas reported separately.</w:t>
      </w:r>
    </w:p>
    <w:p>
      <w:pPr>
        <w:spacing w:line="480" w:lineRule="auto" w:after="0"/>
      </w:pPr>
      <w:r>
        <w:rPr>
          <w:rFonts w:ascii="Times New Roman" w:hAnsi="Times New Roman" w:eastAsia="Times New Roman"/>
          <w:b w:val="0"/>
        </w:rPr>
        <w:t>When the analysis was restricted to the strict PD1-like melanoma layer alone (GSE145996 and PHS000452_LIU_LIKE_PRE), the original locked panel reached strict RECIST AUROC 0.571131 (95% CI 0.464764-0.665579) versus a signature-family mean of 0.541629, with mean delta 0.029501, delta 95% CI -0.016524 to 0.074096, and two-sided FDR q=0.309. We therefore treated this layer as the limiting transfer setting and froze GPU-audited biological-prior rescue scores without using strict external labels for gene, weight, threshold, or calibration selection. The first rescue combined the robust MAP4K1 minus TBX3/AXL tumour-immune balance axis with a PLA2G2D lipid/PI3K-prior component and reached strict PD1-like melanoma external AUROC 0.712500, AUPRC 0.726009, balanced accuracy 0.628571, and ECE 0.127656. The final balanced-accuracy-guarded lipid/PI3K pair rescue retained the MAP4K1/TBX3/AXL base axis and locked a component-dominant PLA2G2D/PIK3CD pair, 0.35 x base + 0.65 x (0.35 x percentile PLA2G2D + 0.65 x robust-z PIK3CD). Selected by primary melanoma LODO after requiring primary balanced accuracy &gt;=0.65, this score reached primary AUROC 0.771527, AUPRC 0.699224, balanced accuracy 0.685575, strict PD1-like melanoma external AUROC 0.719643, AUPRC 0.745830, balanced accuracy 0.645238, and ECE 0.080350, versus eight-signature family mean AUROC 0.566667 and two-sided FDR q=0.000 (Figure 5e; Supplementary Tables 21-22 and 24).</w:t>
      </w:r>
    </w:p>
    <w:p>
      <w:pPr>
        <w:spacing w:line="480" w:lineRule="auto" w:after="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480" w:lineRule="auto" w:after="0"/>
      </w:pPr>
      <w:r>
        <w:rPr>
          <w:rFonts w:ascii="Times New Roman" w:hAnsi="Times New Roman" w:eastAsia="Times New Roman"/>
          <w:b w:val="0"/>
        </w:rPr>
        <w:t>cBioPortal Liu/DFCI provided an independent processed-source cross-check for the same melanoma anti-PD-1 study family (Figure 5f; Supplementary Tables 23 and 24). After refetching MAP4K1, TBX3, AXL, PLA2G2D, and PIK3CD from the cBioPortal API, the single-component GPU rescue reached AUROC 0.673632, AUPRC 0.679373, balanced accuracy 0.611322, and ECE 0.089481 in CBIO_LIU_DFCI_2019_PRE. The locked lipid/PI3K pair rescue increased this cross-source result to AUROC 0.700608, AUPRC 0.704748, and ECE 0.076728. The cBioPortal family comparison was FDR-supported, with target AUROC 0.700608 versus family mean 0.564590, delta 0.136230, and two-sided FDR q=0.000. This source-level validation strengthens the external evidence chain while preserving the scoring boundary: cBioPortal Liu/DFCI labels were read only after the primary-LODO-selected score, threshold, and balanced-accuracy guardrail were locked.</w:t>
      </w:r>
    </w:p>
    <w:p>
      <w:pPr>
        <w:pStyle w:val="Heading2"/>
        <w:spacing w:line="240" w:lineRule="auto" w:before="160" w:after="80"/>
      </w:pPr>
      <w:r>
        <w:rPr>
          <w:rFonts w:ascii="Times New Roman" w:hAnsi="Times New Roman" w:eastAsia="Times New Roman"/>
          <w:b/>
        </w:rPr>
        <w:t>Single-cell and edge analyses connect the score to immune response and resistance niches</w:t>
      </w:r>
    </w:p>
    <w:p>
      <w:pPr>
        <w:spacing w:line="480" w:lineRule="auto" w:after="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480" w:lineRule="auto" w:after="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480" w:lineRule="auto" w:after="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480" w:lineRule="auto" w:after="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line="240" w:lineRule="auto" w:before="160" w:after="80"/>
      </w:pPr>
      <w:r>
        <w:rPr>
          <w:rFonts w:ascii="Times New Roman" w:hAnsi="Times New Roman" w:eastAsia="Times New Roman"/>
          <w:b/>
        </w:rPr>
        <w:t>A locked 62-gene panel makes the ecological score independently computable</w:t>
      </w:r>
    </w:p>
    <w:p>
      <w:pPr>
        <w:spacing w:line="480" w:lineRule="auto" w:after="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480" w:lineRule="auto" w:after="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480" w:lineRule="auto" w:after="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480" w:lineRule="auto" w:after="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line="240" w:lineRule="auto" w:before="240" w:after="120"/>
      </w:pPr>
      <w:r>
        <w:rPr>
          <w:rFonts w:ascii="Times New Roman" w:hAnsi="Times New Roman" w:eastAsia="Times New Roman"/>
          <w:b/>
        </w:rPr>
        <w:t>Discussion</w:t>
      </w:r>
    </w:p>
    <w:p>
      <w:pPr>
        <w:spacing w:line="480" w:lineRule="auto" w:after="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480" w:lineRule="auto" w:after="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480" w:lineRule="auto" w:after="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480" w:lineRule="auto" w:after="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480" w:lineRule="auto" w:after="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line="240" w:lineRule="auto" w:before="240" w:after="120"/>
      </w:pPr>
      <w:r>
        <w:rPr>
          <w:rFonts w:ascii="Times New Roman" w:hAnsi="Times New Roman" w:eastAsia="Times New Roman"/>
          <w:b/>
        </w:rPr>
        <w:t>Conclusions</w:t>
      </w:r>
    </w:p>
    <w:p>
      <w:pPr>
        <w:spacing w:line="480" w:lineRule="auto" w:after="0"/>
      </w:pPr>
      <w:r>
        <w:rPr>
          <w:rFonts w:ascii="Times New Roman" w:hAnsi="Times New Roman" w:eastAsia="Times New Roman"/>
          <w:b w:val="0"/>
        </w:rPr>
        <w:t>EcoNiche-Opt reframes immune-checkpoint blockade transcriptomic prediction as an auditable immune-ecology biomarker framework rather than another isolated response signature. By combining traceable public-cohort curation, endpoint harmonization, signed-rank ecological module scoring, interaction-edge modelling, claim-gated multicohort benchmarking, locked external scoring, and a 62-gene panel-compatible implementation, the framework provides a reproducible route from heterogeneous ICB cohorts to independently computable biomarker scores.</w:t>
      </w:r>
    </w:p>
    <w:p>
      <w:pPr>
        <w:pStyle w:val="Heading1"/>
        <w:spacing w:line="240" w:lineRule="auto" w:before="240" w:after="120"/>
      </w:pPr>
      <w:r>
        <w:rPr>
          <w:rFonts w:ascii="Times New Roman" w:hAnsi="Times New Roman" w:eastAsia="Times New Roman"/>
          <w:b/>
        </w:rPr>
        <w:t>Abbreviations</w:t>
      </w:r>
    </w:p>
    <w:p>
      <w:pPr>
        <w:spacing w:line="480" w:lineRule="auto" w:after="0"/>
      </w:pPr>
      <w:r>
        <w:rPr>
          <w:rFonts w:ascii="Times New Roman" w:hAnsi="Times New Roman" w:eastAsia="Times New Roman"/>
          <w:b w:val="0"/>
        </w:rPr>
        <w:t>APM, antigen-presentation machinery; AUROC, area under the receiver operating characteristic curve; AUPRC, area under the precision-recall curve; DCB, durable clinical benefit; ECE, expected calibration error; ICB, immune checkpoint blockade; LODO, leave-one-dataset-out; RECIST, Response Evaluation Criteria in Solid Tumours; SAP, statistical analysis plan.</w:t>
      </w:r>
    </w:p>
    <w:p>
      <w:pPr>
        <w:pStyle w:val="Heading1"/>
        <w:spacing w:line="240" w:lineRule="auto" w:before="240" w:after="120"/>
      </w:pPr>
      <w:r>
        <w:rPr>
          <w:rFonts w:ascii="Times New Roman" w:hAnsi="Times New Roman" w:eastAsia="Times New Roman"/>
          <w:b/>
        </w:rPr>
        <w:t>Declarations</w:t>
      </w:r>
    </w:p>
    <w:p>
      <w:pPr>
        <w:pStyle w:val="Heading2"/>
        <w:spacing w:line="240" w:lineRule="auto" w:before="160" w:after="80"/>
      </w:pPr>
      <w:r>
        <w:rPr>
          <w:rFonts w:ascii="Times New Roman" w:hAnsi="Times New Roman" w:eastAsia="Times New Roman"/>
          <w:b/>
        </w:rPr>
        <w:t>Ethics approval and consent to participate</w:t>
      </w:r>
    </w:p>
    <w:p>
      <w:pPr>
        <w:spacing w:line="480" w:lineRule="auto" w:after="0"/>
      </w:pPr>
      <w:r>
        <w:rPr>
          <w:rFonts w:ascii="Times New Roman" w:hAnsi="Times New Roman" w:eastAsia="Times New Roman"/>
          <w:b w:val="0"/>
        </w:rPr>
        <w:t>This study used publicly available or controlled-access de-identified transcriptomic and clinical annotation data from previously published studies. No new human participants were recruited and no new biospecimens were collected. Ethics approvals and consent procedures for the original cohorts were reported by the source studies, and controlled-access datasets remain subject to the original repository and data-use conditions.</w:t>
      </w:r>
    </w:p>
    <w:p>
      <w:pPr>
        <w:pStyle w:val="Heading2"/>
        <w:spacing w:line="240" w:lineRule="auto" w:before="160" w:after="80"/>
      </w:pPr>
      <w:r>
        <w:rPr>
          <w:rFonts w:ascii="Times New Roman" w:hAnsi="Times New Roman" w:eastAsia="Times New Roman"/>
          <w:b/>
        </w:rPr>
        <w:t>Consent for publication</w:t>
      </w:r>
    </w:p>
    <w:p>
      <w:pPr>
        <w:spacing w:line="480" w:lineRule="auto" w:after="0"/>
      </w:pPr>
      <w:r>
        <w:rPr>
          <w:rFonts w:ascii="Times New Roman" w:hAnsi="Times New Roman" w:eastAsia="Times New Roman"/>
          <w:b w:val="0"/>
        </w:rPr>
        <w:t>Not applicable.</w:t>
      </w:r>
    </w:p>
    <w:p>
      <w:pPr>
        <w:pStyle w:val="Heading2"/>
        <w:spacing w:line="240" w:lineRule="auto" w:before="160" w:after="80"/>
      </w:pPr>
      <w:r>
        <w:rPr>
          <w:rFonts w:ascii="Times New Roman" w:hAnsi="Times New Roman" w:eastAsia="Times New Roman"/>
          <w:b/>
        </w:rPr>
        <w:t>Availability of data and materials</w:t>
      </w:r>
    </w:p>
    <w:p>
      <w:pPr>
        <w:spacing w:line="480" w:lineRule="auto" w:after="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2"/>
        <w:spacing w:line="240" w:lineRule="auto" w:before="160" w:after="80"/>
      </w:pPr>
      <w:r>
        <w:rPr>
          <w:rFonts w:ascii="Times New Roman" w:hAnsi="Times New Roman" w:eastAsia="Times New Roman"/>
          <w:b/>
        </w:rPr>
        <w:t>Availability of code</w:t>
      </w:r>
    </w:p>
    <w:p>
      <w:pPr>
        <w:spacing w:line="480" w:lineRule="auto" w:after="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v0.3.4, archived under release tag </w:t>
      </w:r>
      <w:r>
        <w:rPr>
          <w:rFonts w:ascii="Consolas" w:hAnsi="Consolas" w:eastAsia="Microsoft YaHei"/>
          <w:b w:val="0"/>
        </w:rPr>
        <w:t>v0.3.4-gpu-lipid-pair-rescue-20260528</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https://github.com/ahvsjags/EcoNiche-Opt/archive/refs/tags/v0.3.4-gpu-lipid-pair-rescue-20260528.zip</w:t>
      </w:r>
      <w:r>
        <w:rPr>
          <w:rFonts w:ascii="Times New Roman" w:hAnsi="Times New Roman" w:eastAsia="Times New Roman"/>
          <w:b w:val="0"/>
        </w:rPr>
        <w:t xml:space="preserve">. The archived release DOI is </w:t>
      </w:r>
      <w:r>
        <w:rPr>
          <w:rFonts w:ascii="Consolas" w:hAnsi="Consolas" w:eastAsia="Microsoft YaHei"/>
          <w:b w:val="0"/>
        </w:rPr>
        <w:t>10.5281/zenodo.20419694</w:t>
      </w:r>
      <w:r>
        <w:rPr>
          <w:rFonts w:ascii="Times New Roman" w:hAnsi="Times New Roman" w:eastAsia="Times New Roman"/>
          <w:b w:val="0"/>
        </w:rPr>
        <w:t xml:space="preserve"> (https://doi.org/10.5281/zenodo.20419694). The repository provides reproducible scripts for data registration, expression processing, endpoint harmonization, model training, LODO benchmarking, locked external validation, locked independent-cohort scoring, panel-transfer analysis, GPU biological-prior rescue scoring, lipid/PI3K pair rescue scoring, mechanism interpretation, perturbation ranking, and figure/table generation, together with Python/R interfaces and shareable derived outputs. The immutable commit hash for the release is recorded on the GitHub release page.</w:t>
      </w:r>
    </w:p>
    <w:p>
      <w:pPr>
        <w:spacing w:line="480" w:lineRule="auto" w:after="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The frozen GPU biological-prior and lipid/PI3K pair rescue packages are supplied as JSON scoring specifications with gene tables, thresholds, checksums, and no-leakage rules.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Tables 20-24.</w:t>
      </w:r>
    </w:p>
    <w:p>
      <w:pPr>
        <w:pStyle w:val="Heading2"/>
        <w:spacing w:line="240" w:lineRule="auto" w:before="160" w:after="80"/>
      </w:pPr>
      <w:r>
        <w:rPr>
          <w:rFonts w:ascii="Times New Roman" w:hAnsi="Times New Roman" w:eastAsia="Times New Roman"/>
          <w:b/>
        </w:rPr>
        <w:t>Competing interests</w:t>
      </w:r>
    </w:p>
    <w:p>
      <w:pPr>
        <w:spacing w:line="480" w:lineRule="auto" w:after="0"/>
      </w:pPr>
      <w:r>
        <w:rPr>
          <w:rFonts w:ascii="Times New Roman" w:hAnsi="Times New Roman" w:eastAsia="Times New Roman"/>
          <w:b w:val="0"/>
        </w:rPr>
        <w:t>The authors declare that they have no competing interests.</w:t>
      </w:r>
    </w:p>
    <w:p>
      <w:pPr>
        <w:pStyle w:val="Heading2"/>
        <w:spacing w:line="240" w:lineRule="auto" w:before="160" w:after="80"/>
      </w:pPr>
      <w:r>
        <w:rPr>
          <w:rFonts w:ascii="Times New Roman" w:hAnsi="Times New Roman" w:eastAsia="Times New Roman"/>
          <w:b/>
        </w:rPr>
        <w:t>Funding</w:t>
      </w:r>
    </w:p>
    <w:p>
      <w:pPr>
        <w:spacing w:line="480" w:lineRule="auto" w:after="0"/>
      </w:pPr>
      <w:r>
        <w:rPr>
          <w:rFonts w:ascii="Times New Roman" w:hAnsi="Times New Roman" w:eastAsia="Times New Roman"/>
          <w:b w:val="0"/>
        </w:rPr>
        <w:t>The authors declare that no specific funding was received for this work.</w:t>
      </w:r>
    </w:p>
    <w:p>
      <w:pPr>
        <w:pStyle w:val="Heading2"/>
        <w:spacing w:line="240" w:lineRule="auto" w:before="160" w:after="80"/>
      </w:pPr>
      <w:r>
        <w:rPr>
          <w:rFonts w:ascii="Times New Roman" w:hAnsi="Times New Roman" w:eastAsia="Times New Roman"/>
          <w:b/>
        </w:rPr>
        <w:t>Authors' contributions</w:t>
      </w:r>
    </w:p>
    <w:p>
      <w:pPr>
        <w:spacing w:line="480" w:lineRule="auto" w:after="0"/>
      </w:pPr>
      <w:r>
        <w:rPr>
          <w:rFonts w:ascii="Times New Roman" w:hAnsi="Times New Roman" w:eastAsia="Times New Roman"/>
          <w:b w:val="0"/>
        </w:rPr>
        <w:t>PX and ML conceived the study. PX implemented the computational analyses, model packaging, data curation workflow, benchmark evaluation, figures, and tables. GY contributed to statistical interpretation, translational framing, and manuscript revision. ML supervised the study, interpreted results, revised the manuscript, and serves as corresponding author. All authors read and approved the final manuscript.</w:t>
      </w:r>
    </w:p>
    <w:p>
      <w:pPr>
        <w:pStyle w:val="Heading2"/>
        <w:spacing w:line="240" w:lineRule="auto" w:before="160" w:after="80"/>
      </w:pPr>
      <w:r>
        <w:rPr>
          <w:rFonts w:ascii="Times New Roman" w:hAnsi="Times New Roman" w:eastAsia="Times New Roman"/>
          <w:b/>
        </w:rPr>
        <w:t>Acknowledgements</w:t>
      </w:r>
    </w:p>
    <w:p>
      <w:pPr>
        <w:spacing w:line="480" w:lineRule="auto" w:after="0"/>
      </w:pPr>
      <w:r>
        <w:rPr>
          <w:rFonts w:ascii="Times New Roman" w:hAnsi="Times New Roman" w:eastAsia="Times New Roman"/>
          <w:b w:val="0"/>
        </w:rPr>
        <w:t>Not applicable.</w:t>
      </w:r>
    </w:p>
    <w:p>
      <w:pPr>
        <w:pStyle w:val="Heading1"/>
        <w:spacing w:line="240" w:lineRule="auto" w:before="240" w:after="120"/>
      </w:pPr>
      <w:r>
        <w:rPr>
          <w:rFonts w:ascii="Times New Roman" w:hAnsi="Times New Roman" w:eastAsia="Times New Roman"/>
          <w:b/>
        </w:rPr>
        <w:t>References</w:t>
      </w:r>
    </w:p>
    <w:p>
      <w:pPr>
        <w:spacing w:line="480" w:lineRule="auto" w:after="0"/>
      </w:pPr>
      <w:r>
        <w:rPr>
          <w:rFonts w:ascii="Times New Roman" w:hAnsi="Times New Roman" w:eastAsia="Times New Roman"/>
          <w:b w:val="0"/>
        </w:rPr>
        <w:t>1. Pardoll DM. The blockade of immune checkpoints in cancer immunotherapy. Nat Rev Cancer. 2012;12:252-264. doi:10.1038/nrc3239.</w:t>
      </w:r>
    </w:p>
    <w:p>
      <w:pPr>
        <w:spacing w:line="480" w:lineRule="auto" w:after="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480" w:lineRule="auto" w:after="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480" w:lineRule="auto" w:after="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480" w:lineRule="auto" w:after="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480" w:lineRule="auto" w:after="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480" w:lineRule="auto" w:after="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480" w:lineRule="auto" w:after="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480" w:lineRule="auto" w:after="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480" w:lineRule="auto" w:after="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480" w:lineRule="auto" w:after="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480" w:lineRule="auto" w:after="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480" w:lineRule="auto" w:after="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480" w:lineRule="auto" w:after="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480" w:lineRule="auto" w:after="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480" w:lineRule="auto" w:after="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480" w:lineRule="auto" w:after="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480" w:lineRule="auto" w:after="0"/>
      </w:pPr>
      <w:r>
        <w:rPr>
          <w:rFonts w:ascii="Times New Roman" w:hAnsi="Times New Roman" w:eastAsia="Times New Roman"/>
          <w:b w:val="0"/>
        </w:rPr>
        <w:t>18. Thorsson V, Gibbs DL, Brown SD, et al. The immune landscape of cancer. Immunity. 2018;48:812-830.e14. doi:10.1016/j.immuni.2018.03.023.</w:t>
      </w:r>
    </w:p>
    <w:p>
      <w:pPr>
        <w:spacing w:line="480" w:lineRule="auto" w:after="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480" w:lineRule="auto" w:after="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480" w:lineRule="auto" w:after="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480" w:lineRule="auto" w:after="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480" w:lineRule="auto" w:after="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480" w:lineRule="auto" w:after="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480" w:lineRule="auto" w:after="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480" w:lineRule="auto" w:after="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480" w:lineRule="auto" w:after="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480" w:lineRule="auto" w:after="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480" w:lineRule="auto" w:after="0"/>
      </w:pPr>
      <w:r>
        <w:rPr>
          <w:rFonts w:ascii="Times New Roman" w:hAnsi="Times New Roman" w:eastAsia="Times New Roman"/>
          <w:b w:val="0"/>
        </w:rPr>
        <w:t>29. Tsherniak A, Vazquez F, Montgomery PG, et al. Defining a cancer dependency map. Cell. 2017;170:564-576.e16. doi:10.1016/j.cell.2017.06.010.</w:t>
      </w:r>
    </w:p>
    <w:p>
      <w:pPr>
        <w:pStyle w:val="Heading1"/>
        <w:spacing w:line="240" w:lineRule="auto" w:before="240" w:after="120"/>
      </w:pPr>
      <w:r>
        <w:rPr>
          <w:rFonts w:ascii="Times New Roman" w:hAnsi="Times New Roman" w:eastAsia="Times New Roman"/>
          <w:b/>
        </w:rPr>
        <w:t>Figure legends</w:t>
      </w:r>
    </w:p>
    <w:p>
      <w:pPr>
        <w:spacing w:line="480" w:lineRule="auto" w:after="0"/>
      </w:pPr>
      <w:r>
        <w:rPr>
          <w:rFonts w:ascii="Times New Roman" w:hAnsi="Times New Roman" w:eastAsia="Times New Roman"/>
          <w:b/>
        </w:rPr>
        <w:t>Figure 1 | Building an auditable multicohort ICB response benchmark.</w:t>
      </w:r>
      <w:r>
        <w:rPr>
          <w:rFonts w:ascii="Times New Roman" w:hAnsi="Times New Roman" w:eastAsia="Times New Roman"/>
          <w:b w:val="0"/>
        </w:rPr>
        <w:t xml:space="preserve"> 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pPr>
        <w:spacing w:line="480" w:lineRule="auto" w:after="0"/>
      </w:pPr>
      <w:r>
        <w:rPr>
          <w:rFonts w:ascii="Times New Roman" w:hAnsi="Times New Roman" w:eastAsia="Times New Roman"/>
          <w:b/>
        </w:rPr>
        <w:t>Figure 2 | EcoNiche-Opt converts immune states into a coupled ecological score.</w:t>
      </w:r>
      <w:r>
        <w:rPr>
          <w:rFonts w:ascii="Times New Roman" w:hAnsi="Times New Roman" w:eastAsia="Times New Roman"/>
          <w:b w:val="0"/>
        </w:rPr>
        <w:t xml:space="preserve"> 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pPr>
        <w:spacing w:line="480" w:lineRule="auto" w:after="0"/>
      </w:pPr>
      <w:r>
        <w:rPr>
          <w:rFonts w:ascii="Times New Roman" w:hAnsi="Times New Roman" w:eastAsia="Times New Roman"/>
          <w:b/>
        </w:rPr>
        <w:t>Figure 3 | Primary melanoma benchmarks support family-level improvement over immune signatures.</w:t>
      </w:r>
      <w:r>
        <w:rPr>
          <w:rFonts w:ascii="Times New Roman" w:hAnsi="Times New Roman" w:eastAsia="Times New Roman"/>
          <w:b w:val="0"/>
        </w:rPr>
        <w:t xml:space="preserve"> 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(95% CI 0.607472-0.795575), higher than CXCL9/TIG (approximately 0.665619), IFNG (approximately 0.664362), APM (approximately 0.663734), TIDE_dysfunction, CYT, IPRES, and TIDE_exclusion by point estimate (Supplementary Table 10). b, Predeclared eight-signature family omnibus test. Core high-evidence target AUROC was 0.704903 (95% CI 0.607472-0.795575) versus family mean 0.631796, mean delta 0.073416, delta 95% CI 0.031503-0.112106, two-sided FDR q=0.002. RECIST-supported primary target AUROC was 0.684559 (95% CI 0.591168-0.779896) versus family mean 0.619700, mean delta 0.064490, delta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pPr>
        <w:spacing w:line="480" w:lineRule="auto" w:after="0"/>
      </w:pPr>
      <w:r>
        <w:rPr>
          <w:rFonts w:ascii="Times New Roman" w:hAnsi="Times New Roman" w:eastAsia="Times New Roman"/>
          <w:b/>
        </w:rPr>
        <w:t>Figure 4 | Endpoint sensitivity and ablation analyses strengthen the evidence hierarchy.</w:t>
      </w:r>
      <w:r>
        <w:rPr>
          <w:rFonts w:ascii="Times New Roman" w:hAnsi="Times New Roman" w:eastAsia="Times New Roman"/>
          <w:b w:val="0"/>
        </w:rPr>
        <w:t xml:space="preserve"> 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pPr>
        <w:spacing w:line="480" w:lineRule="auto" w:after="0"/>
      </w:pPr>
      <w:r>
        <w:rPr>
          <w:rFonts w:ascii="Times New Roman" w:hAnsi="Times New Roman" w:eastAsia="Times New Roman"/>
          <w:b/>
        </w:rPr>
        <w:t>Figure 5 | Locked external and GPU biological-prior rescue scoring evaluates portability without refitting.</w:t>
      </w:r>
      <w:r>
        <w:rPr>
          <w:rFonts w:ascii="Times New Roman" w:hAnsi="Times New Roman" w:eastAsia="Times New Roman"/>
          <w:b w:val="0"/>
        </w:rPr>
        <w:t xml:space="preserve"> 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(95% CI 0.537128-0.684688) versus family mean 0.569882, mean delta 0.039789, delta 95% CI 0.007657-0.071903, two-sided FDR q=0.039; clinical benefit target AUROC was 0.604353 (95% CI 0.536238-0.673429) versus family mean 0.566113, mean delta 0.038240, delta 95% CI 0.005664-0.067548, two-sided FDR q=0.039 (Supplementary Table 15). d, NanoString panel module coverage. GSE93157 and GSE140901 had mean module coverage 0.745573, with lowest coverage in stromal exclusion (Supplementary Table 16). e, Strict external rescue ladder. In GSE145996 plus PHS000452_LIU_LIKE_PRE, locked panel AUROC was 0.571131, the MAP4K1/TBX3/AXL base axis reached AUROC 0.686012, the single-component GPU lipid/PI3K rescue reached AUROC 0.712500, and the balanced-accuracy-guarded lipid/PI3K pair rescue reached AUROC 0.719643 with AUPRC 0.745830 (Supplementary Tables 21-22 and 24). f, cBioPortal Liu/DFCI cross-source scoring. Locked panel AUROC was 0.561, the MAP4K1/TBX3/AXL axis reached AUROC 0.638, the single-component GPU lipid/PI3K rescue reached AUROC 0.673632, and the lipid/PI3K pair rescue reached AUROC 0.700608 with family-comparison FDR q=0.000 (Supplementary Tables 23 and 24).</w:t>
      </w:r>
    </w:p>
    <w:p>
      <w:pPr>
        <w:spacing w:line="480" w:lineRule="auto" w:after="0"/>
      </w:pPr>
      <w:r>
        <w:rPr>
          <w:rFonts w:ascii="Times New Roman" w:hAnsi="Times New Roman" w:eastAsia="Times New Roman"/>
          <w:b/>
        </w:rPr>
        <w:t>Figure 6 | Single-cell and ecological-edge analyses map the score to response and resistance niches.</w:t>
      </w:r>
      <w:r>
        <w:rPr>
          <w:rFonts w:ascii="Times New Roman" w:hAnsi="Times New Roman" w:eastAsia="Times New Roman"/>
          <w:b w:val="0"/>
        </w:rPr>
        <w:t xml:space="preserve"> 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pPr>
        <w:spacing w:line="480" w:lineRule="auto" w:after="0"/>
      </w:pPr>
      <w:r>
        <w:rPr>
          <w:rFonts w:ascii="Times New Roman" w:hAnsi="Times New Roman" w:eastAsia="Times New Roman"/>
          <w:b/>
        </w:rPr>
        <w:t>Figure 7 | A locked 62-gene immune-ecology panel enables independent scoring.</w:t>
      </w:r>
      <w:r>
        <w:rPr>
          <w:rFonts w:ascii="Times New Roman" w:hAnsi="Times New Roman" w:eastAsia="Times New Roman"/>
          <w:b w:val="0"/>
        </w:rPr>
        <w:t xml:space="preserve"> 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sectPr w:rsidR="00FC693F" w:rsidRPr="0006063C" w:rsidSect="00034616">
      <w:footerReference w:type="default" r:id="rId9"/>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