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Nature Portfolio Reporting Summary</w:t>
        <w:br/>
        <w:t>EcoNiche-Opt</w:t>
      </w:r>
    </w:p>
    <w:p>
      <w:pPr>
        <w:jc w:val="center"/>
      </w:pPr>
      <w:r>
        <w:t>Prepared for Communications Medicine submission | Generated 2026-05-28</w:t>
      </w:r>
    </w:p>
    <w:p>
      <w:pPr>
        <w:pStyle w:val="Heading1"/>
      </w:pPr>
      <w:r>
        <w:rPr>
          <w:rFonts w:ascii="Arial" w:hAnsi="Arial"/>
        </w:rPr>
        <w:t>Study design</w:t>
      </w:r>
    </w:p>
    <w:p>
      <w:pPr>
        <w:pStyle w:val="ListBullet"/>
      </w:pPr>
      <w:r>
        <w:t>Retrospective multicohort transcriptomic biomarker and prediction-model study using public immune checkpoint blockade cohorts.</w:t>
      </w:r>
    </w:p>
    <w:p>
      <w:pPr>
        <w:pStyle w:val="ListBullet"/>
      </w:pPr>
      <w:r>
        <w:t>Discovery, leave-one-dataset-out validation, locked external scoring and panel-transfer analyses are kept separate by design.</w:t>
      </w:r>
    </w:p>
    <w:p>
      <w:pPr>
        <w:pStyle w:val="Heading1"/>
      </w:pPr>
      <w:r>
        <w:rPr>
          <w:rFonts w:ascii="Arial" w:hAnsi="Arial"/>
        </w:rPr>
        <w:t>Sample definition and endpoints</w:t>
      </w:r>
    </w:p>
    <w:p>
      <w:pPr>
        <w:pStyle w:val="ListBullet"/>
      </w:pPr>
      <w:r>
        <w:t>Eligible samples require traceable expression data, sample/patient mapping and response-label evidence.</w:t>
      </w:r>
    </w:p>
    <w:p>
      <w:pPr>
        <w:pStyle w:val="ListBullet"/>
      </w:pPr>
      <w:r>
        <w:t>Endpoints are strict RECIST, primary RECIST and clinical benefit; endpoint-specific sample sizes are reported in Supplementary Table 6.</w:t>
      </w:r>
    </w:p>
    <w:p>
      <w:pPr>
        <w:pStyle w:val="Heading1"/>
      </w:pPr>
      <w:r>
        <w:rPr>
          <w:rFonts w:ascii="Arial" w:hAnsi="Arial"/>
        </w:rPr>
        <w:t>Statistics and reproducibility</w:t>
      </w:r>
    </w:p>
    <w:p>
      <w:pPr>
        <w:pStyle w:val="ListBullet"/>
      </w:pPr>
      <w:r>
        <w:t>Performance metrics include AUROC, AUPRC, balanced accuracy, Brier score, expected calibration error and decision-curve net benefit.</w:t>
      </w:r>
    </w:p>
    <w:p>
      <w:pPr>
        <w:pStyle w:val="ListBullet"/>
      </w:pPr>
      <w:r>
        <w:t>Comparator analyses use paired bootstrap or DeLong-compatible tests with Benjamini-Hochberg false-discovery-rate correction.</w:t>
      </w:r>
    </w:p>
    <w:p>
      <w:pPr>
        <w:pStyle w:val="ListBullet"/>
      </w:pPr>
      <w:r>
        <w:t>All training, feature selection, thresholding and calibration are performed only within discovery/training data.</w:t>
      </w:r>
    </w:p>
    <w:p>
      <w:pPr>
        <w:pStyle w:val="Heading1"/>
      </w:pPr>
      <w:r>
        <w:rPr>
          <w:rFonts w:ascii="Arial" w:hAnsi="Arial"/>
        </w:rPr>
        <w:t>Data availability</w:t>
      </w:r>
    </w:p>
    <w:p>
      <w:pPr>
        <w:pStyle w:val="ListBullet"/>
      </w:pPr>
      <w:r>
        <w:t>Public data sources and access status are reported in Supplementary Tables 1-6.</w:t>
      </w:r>
    </w:p>
    <w:p>
      <w:pPr>
        <w:pStyle w:val="ListBullet"/>
      </w:pPr>
      <w:r>
        <w:t>Source Data.xlsx contains figure-level source mappings, figure/table manifests, and Supplementary Tables 1-24.</w:t>
      </w:r>
    </w:p>
    <w:p>
      <w:pPr>
        <w:pStyle w:val="ListBullet"/>
      </w:pPr>
      <w:r>
        <w:t>Controlled or access-restricted cohorts are described by access route and are not redistributed.</w:t>
      </w:r>
    </w:p>
    <w:p>
      <w:pPr>
        <w:pStyle w:val="Heading1"/>
      </w:pPr>
      <w:r>
        <w:rPr>
          <w:rFonts w:ascii="Arial" w:hAnsi="Arial"/>
        </w:rPr>
        <w:t>Code availability</w:t>
      </w:r>
    </w:p>
    <w:p>
      <w:pPr>
        <w:pStyle w:val="ListBullet"/>
      </w:pPr>
      <w:r>
        <w:t>Repository: https://github.com/ahvsjags/EcoNiche-Opt</w:t>
      </w:r>
    </w:p>
    <w:p>
      <w:pPr>
        <w:pStyle w:val="ListBullet"/>
      </w:pPr>
      <w:r>
        <w:t>Manuscript release tag: v0.3.4-gpu-lipid-pair-rescue-20260528</w:t>
      </w:r>
    </w:p>
    <w:p>
      <w:pPr>
        <w:pStyle w:val="ListBullet"/>
      </w:pPr>
      <w:r>
        <w:t>Release-specific source archive: https://github.com/ahvsjags/EcoNiche-Opt/archive/refs/tags/v0.3.4-gpu-lipid-pair-rescue-20260528.zip</w:t>
      </w:r>
    </w:p>
    <w:p>
      <w:pPr>
        <w:pStyle w:val="ListBullet"/>
      </w:pPr>
      <w:r>
        <w:t>Archived release DOI: 10.5281/zenodo.20419694 (https://doi.org/10.5281/zenodo.20419694).</w:t>
      </w:r>
    </w:p>
    <w:p>
      <w:pPr>
        <w:pStyle w:val="ListBullet"/>
      </w:pPr>
      <w:r>
        <w:t>Core commands include python -m pip install -e ., python -m pytest -q, python -m econiche_opt.cli make-demo, and python -m econiche_opt.cli validate-project --mode demo.</w:t>
      </w:r>
    </w:p>
    <w:p>
      <w:pPr>
        <w:pStyle w:val="Heading1"/>
      </w:pPr>
      <w:r>
        <w:rPr>
          <w:rFonts w:ascii="Arial" w:hAnsi="Arial"/>
        </w:rPr>
        <w:t>Reporting guidelines</w:t>
      </w:r>
    </w:p>
    <w:p>
      <w:pPr>
        <w:pStyle w:val="ListBullet"/>
      </w:pPr>
      <w:r>
        <w:t>STROBE is supplied for the retrospective observational cohort structure.</w:t>
      </w:r>
    </w:p>
    <w:p>
      <w:pPr>
        <w:pStyle w:val="ListBullet"/>
      </w:pPr>
      <w:r>
        <w:t>TRIPOD is supplied for prediction-model development and validation reporting.</w:t>
      </w:r>
    </w:p>
    <w:p>
      <w:pPr>
        <w:pStyle w:val="ListBullet"/>
      </w:pPr>
      <w:r>
        <w:t>REMARK is supplied for oncology biomarker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