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40"/>
        <w:jc w:val="center"/>
      </w:pPr>
      <w:r>
        <w:rPr>
          <w:rFonts w:ascii="Times New Roman" w:hAnsi="Times New Roman" w:eastAsia="Microsoft YaHei"/>
          <w:b/>
          <w:color w:val="000000"/>
          <w:sz w:val="32"/>
        </w:rPr>
        <w:t>Cover letter</w:t>
      </w:r>
    </w:p>
    <w:p>
      <w:pPr>
        <w:spacing w:line="480" w:lineRule="auto" w:after="0"/>
      </w:pPr>
      <w:r>
        <w:rPr>
          <w:rFonts w:ascii="Times New Roman" w:hAnsi="Times New Roman" w:eastAsia="Times New Roman"/>
          <w:b w:val="0"/>
        </w:rPr>
        <w:t>Dear Editors,</w:t>
      </w:r>
    </w:p>
    <w:p>
      <w:pPr>
        <w:spacing w:line="480" w:lineRule="auto" w:after="0"/>
      </w:pPr>
      <w:r>
        <w:rPr>
          <w:rFonts w:ascii="Times New Roman" w:hAnsi="Times New Roman" w:eastAsia="Times New Roman"/>
          <w:b w:val="0"/>
        </w:rPr>
        <w:t>We submit "EcoNiche-Opt: a locked immune-ecology transcriptomic score for multicohort prediction of immune checkpoint blockade response" for consideration as a Research Article in Journal of Translational Medicine, with strongest relevance to the Disease Biomarkers, Cancer Microenvironment, and Data-driven Clinical Decision Processes sections.</w:t>
      </w:r>
    </w:p>
    <w:p>
      <w:pPr>
        <w:spacing w:line="480" w:lineRule="auto" w:after="0"/>
      </w:pPr>
      <w:r>
        <w:rPr>
          <w:rFonts w:ascii="Times New Roman" w:hAnsi="Times New Roman" w:eastAsia="Times New Roman"/>
          <w:b w:val="0"/>
        </w:rPr>
        <w:t>The study addresses a translational barrier in immune-checkpoint blockade biomarker development: public transcriptomic cohorts contain useful immune signals, but response labels, sampling status, assay platforms, endpoint definitions, and tumour-immune ecological states are often heterogeneous. EcoNiche-Opt addresses this gap by combining auditable cohort and response-label curation, endpoint-stratified evaluation, signed-rank ecological module scoring, module-interaction edges, biologically constrained optimization, leave-one-dataset-out testing, locked external validation, and a reproducible 62-gene panel-compatible scoring rule.</w:t>
      </w:r>
    </w:p>
    <w:p>
      <w:pPr>
        <w:spacing w:line="480" w:lineRule="auto" w:after="0"/>
      </w:pPr>
      <w:r>
        <w:rPr>
          <w:rFonts w:ascii="Times New Roman" w:hAnsi="Times New Roman" w:eastAsia="Times New Roman"/>
          <w:b w:val="0"/>
        </w:rPr>
        <w:t>In primary melanoma benchmarks, EcoNiche-Opt showed FDR-supported improvement over a predeclared eight-signature family. A frozen GPU-audited lipid/PI3K pair rescue selected by primary LODO with a balanced-accuracy guardrail reached primary AUROC 0.772, strict melanoma external AUROC 0.720, and cBioPortal Liu/DFCI AUROC 0.701 with family-level FDR support. Locked panel-transfer analyses, single-cell localization and ecological-edge analyses further linked the score to antigen presentation, T/NK effector activity, T-cell dysfunction, myeloid suppression and stromal exclusion. The work therefore provides not only a predictor, but a reusable translational framework for developing and validating immune-ecology biomarkers across heterogeneous ICB cohorts.</w:t>
      </w:r>
    </w:p>
    <w:p>
      <w:pPr>
        <w:spacing w:line="480" w:lineRule="auto" w:after="0"/>
      </w:pPr>
      <w:r>
        <w:rPr>
          <w:rFonts w:ascii="Times New Roman" w:hAnsi="Times New Roman" w:eastAsia="Times New Roman"/>
          <w:b w:val="0"/>
        </w:rPr>
        <w:t>All authors have approved the manuscript for submission. The manuscript has not been published and is not under consideration elsewhere. The authors declare no competing interests. The study used previously published de-identified public or controlled-access data and did not recruit new human participants or collect new biospecimens.</w:t>
      </w:r>
    </w:p>
    <w:p>
      <w:pPr>
        <w:spacing w:line="480" w:lineRule="auto" w:after="0"/>
      </w:pPr>
      <w:r>
        <w:rPr>
          <w:rFonts w:ascii="Times New Roman" w:hAnsi="Times New Roman" w:eastAsia="Times New Roman"/>
          <w:b w:val="0"/>
        </w:rPr>
        <w:t>Sincerely,</w:t>
      </w:r>
    </w:p>
    <w:p>
      <w:pPr>
        <w:spacing w:line="480" w:lineRule="auto" w:after="0"/>
      </w:pPr>
      <w:r>
        <w:rPr>
          <w:rFonts w:ascii="Times New Roman" w:hAnsi="Times New Roman" w:eastAsia="Times New Roman"/>
          <w:b w:val="0"/>
        </w:rPr>
        <w:t>Moyan Li, corresponding author</w:t>
      </w:r>
    </w:p>
    <w:p>
      <w:pPr>
        <w:spacing w:line="480" w:lineRule="auto" w:after="0"/>
      </w:pPr>
      <w:r>
        <w:rPr>
          <w:rFonts w:ascii="Times New Roman" w:hAnsi="Times New Roman" w:eastAsia="Times New Roman"/>
          <w:b w:val="0"/>
        </w:rPr>
        <w:t>Hong Kong University of Science and Technology (Guangzhou), Guangzhou 510000, China</w:t>
      </w:r>
    </w:p>
    <w:p>
      <w:pPr>
        <w:spacing w:line="480" w:lineRule="auto" w:after="0"/>
      </w:pPr>
      <w:r>
        <w:rPr>
          <w:rFonts w:ascii="Times New Roman" w:hAnsi="Times New Roman" w:eastAsia="Times New Roman"/>
          <w:b w:val="0"/>
        </w:rPr>
        <w:t>moyanli@hkust-gz.edu.cn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defaultImageDpi w: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EcoNiche-Opt: a locked immune-ecology transcriptomic score for multicohort prediction of immune checkpoint blockade response</dc:title>
  <dc:subject>Journal of Translational Medicine submission</dc:subject>
  <dc:creator>EcoNiche-Opt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